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A0DCB" w14:textId="2C70BC76" w:rsidR="008B2C4F" w:rsidRPr="004A659A" w:rsidRDefault="008B2C4F" w:rsidP="008B2C4F">
      <w:pPr>
        <w:tabs>
          <w:tab w:val="right" w:pos="9356"/>
          <w:tab w:val="right" w:pos="10206"/>
        </w:tabs>
        <w:rPr>
          <w:rFonts w:ascii="Arial" w:hAnsi="Arial" w:cs="Arial"/>
          <w:b/>
          <w:noProof/>
          <w:sz w:val="24"/>
          <w:lang w:eastAsia="ja-JP"/>
        </w:rPr>
      </w:pPr>
      <w:bookmarkStart w:id="0" w:name="_Hlk43883961"/>
      <w:r w:rsidRPr="004A659A">
        <w:rPr>
          <w:rFonts w:ascii="Arial" w:hAnsi="Arial" w:cs="Arial"/>
          <w:b/>
          <w:noProof/>
          <w:sz w:val="24"/>
          <w:lang w:eastAsia="ja-JP"/>
        </w:rPr>
        <w:t>3GPP TSG-RAN WG4 Meeting #</w:t>
      </w:r>
      <w:r w:rsidR="00260A05">
        <w:rPr>
          <w:rFonts w:ascii="Arial" w:hAnsi="Arial" w:cs="Arial"/>
          <w:b/>
          <w:noProof/>
          <w:sz w:val="24"/>
          <w:lang w:eastAsia="ja-JP"/>
        </w:rPr>
        <w:t>10</w:t>
      </w:r>
      <w:r w:rsidR="00DE39E6">
        <w:rPr>
          <w:rFonts w:ascii="Arial" w:hAnsi="Arial" w:cs="Arial"/>
          <w:b/>
          <w:noProof/>
          <w:sz w:val="24"/>
          <w:lang w:eastAsia="ja-JP"/>
        </w:rPr>
        <w:t>7</w:t>
      </w:r>
      <w:r w:rsidR="00356882" w:rsidRPr="004A659A">
        <w:rPr>
          <w:rFonts w:ascii="Arial" w:hAnsi="Arial" w:cs="Arial"/>
          <w:b/>
          <w:noProof/>
          <w:sz w:val="24"/>
          <w:lang w:eastAsia="ja-JP"/>
        </w:rPr>
        <w:tab/>
      </w:r>
      <w:r w:rsidRPr="00B21FFC">
        <w:rPr>
          <w:rFonts w:ascii="Arial" w:hAnsi="Arial" w:cs="Arial"/>
          <w:b/>
          <w:noProof/>
          <w:sz w:val="24"/>
          <w:lang w:eastAsia="ja-JP"/>
        </w:rPr>
        <w:t>R4-2</w:t>
      </w:r>
      <w:r w:rsidR="00260A05" w:rsidRPr="00B21FFC">
        <w:rPr>
          <w:rFonts w:ascii="Arial" w:hAnsi="Arial" w:cs="Arial"/>
          <w:b/>
          <w:noProof/>
          <w:sz w:val="24"/>
          <w:lang w:eastAsia="ja-JP"/>
        </w:rPr>
        <w:t>3</w:t>
      </w:r>
      <w:r w:rsidR="00B21FFC" w:rsidRPr="00B21FFC">
        <w:rPr>
          <w:rFonts w:ascii="Arial" w:hAnsi="Arial" w:cs="Arial"/>
          <w:b/>
          <w:noProof/>
          <w:sz w:val="24"/>
          <w:lang w:eastAsia="ja-JP"/>
        </w:rPr>
        <w:t>07688</w:t>
      </w:r>
    </w:p>
    <w:p w14:paraId="26C689EC" w14:textId="26028F55" w:rsidR="00A21CEE" w:rsidRDefault="00DE39E6" w:rsidP="00A21CEE">
      <w:pPr>
        <w:pStyle w:val="Header"/>
        <w:tabs>
          <w:tab w:val="right" w:pos="9781"/>
          <w:tab w:val="right" w:pos="13323"/>
        </w:tabs>
        <w:spacing w:before="60" w:after="60"/>
        <w:outlineLvl w:val="0"/>
        <w:rPr>
          <w:rFonts w:ascii="Arial" w:eastAsia="宋体" w:hAnsi="Arial" w:cs="Arial"/>
          <w:b/>
          <w:sz w:val="24"/>
          <w:szCs w:val="24"/>
          <w:lang w:eastAsia="zh-CN"/>
        </w:rPr>
      </w:pPr>
      <w:r>
        <w:rPr>
          <w:rFonts w:ascii="Arial" w:eastAsia="宋体" w:hAnsi="Arial" w:cs="Arial"/>
          <w:b/>
          <w:sz w:val="24"/>
          <w:szCs w:val="24"/>
          <w:lang w:eastAsia="zh-CN"/>
        </w:rPr>
        <w:t xml:space="preserve">Incheon, </w:t>
      </w:r>
      <w:r w:rsidR="00860E1A">
        <w:rPr>
          <w:rFonts w:ascii="Arial" w:eastAsia="宋体" w:hAnsi="Arial" w:cs="Arial"/>
          <w:b/>
          <w:sz w:val="24"/>
          <w:szCs w:val="24"/>
          <w:lang w:eastAsia="zh-CN"/>
        </w:rPr>
        <w:t xml:space="preserve">South </w:t>
      </w:r>
      <w:r>
        <w:rPr>
          <w:rFonts w:ascii="Arial" w:eastAsia="宋体" w:hAnsi="Arial" w:cs="Arial"/>
          <w:b/>
          <w:sz w:val="24"/>
          <w:szCs w:val="24"/>
          <w:lang w:eastAsia="zh-CN"/>
        </w:rPr>
        <w:t>Korea</w:t>
      </w:r>
      <w:r w:rsidR="00A21CEE">
        <w:rPr>
          <w:rFonts w:ascii="Arial" w:eastAsia="宋体" w:hAnsi="Arial" w:cs="Arial"/>
          <w:b/>
          <w:sz w:val="24"/>
          <w:szCs w:val="24"/>
          <w:lang w:eastAsia="zh-CN"/>
        </w:rPr>
        <w:t xml:space="preserve">, </w:t>
      </w:r>
      <w:r>
        <w:rPr>
          <w:rFonts w:ascii="Arial" w:eastAsia="宋体" w:hAnsi="Arial" w:cs="Arial"/>
          <w:b/>
          <w:sz w:val="24"/>
          <w:szCs w:val="24"/>
          <w:lang w:eastAsia="zh-CN"/>
        </w:rPr>
        <w:t>22</w:t>
      </w:r>
      <w:r w:rsidRPr="00DE39E6">
        <w:rPr>
          <w:rFonts w:ascii="Arial" w:eastAsia="宋体" w:hAnsi="Arial" w:cs="Arial"/>
          <w:b/>
          <w:sz w:val="24"/>
          <w:szCs w:val="24"/>
          <w:vertAlign w:val="superscript"/>
          <w:lang w:eastAsia="zh-CN"/>
        </w:rPr>
        <w:t>nd</w:t>
      </w:r>
      <w:r>
        <w:rPr>
          <w:rFonts w:ascii="Arial" w:eastAsia="宋体" w:hAnsi="Arial" w:cs="Arial"/>
          <w:b/>
          <w:sz w:val="24"/>
          <w:szCs w:val="24"/>
          <w:lang w:eastAsia="zh-CN"/>
        </w:rPr>
        <w:t xml:space="preserve"> </w:t>
      </w:r>
      <w:r w:rsidR="00A21CEE">
        <w:rPr>
          <w:rFonts w:ascii="Arial" w:eastAsia="宋体" w:hAnsi="Arial" w:cs="Arial"/>
          <w:b/>
          <w:sz w:val="24"/>
          <w:szCs w:val="24"/>
          <w:lang w:eastAsia="zh-CN"/>
        </w:rPr>
        <w:t>– 26</w:t>
      </w:r>
      <w:r w:rsidRPr="00DE39E6">
        <w:rPr>
          <w:rFonts w:ascii="Arial" w:eastAsia="宋体" w:hAnsi="Arial" w:cs="Arial"/>
          <w:b/>
          <w:sz w:val="24"/>
          <w:szCs w:val="24"/>
          <w:vertAlign w:val="superscript"/>
          <w:lang w:eastAsia="zh-CN"/>
        </w:rPr>
        <w:t>th</w:t>
      </w:r>
      <w:r>
        <w:rPr>
          <w:rFonts w:ascii="Arial" w:eastAsia="宋体" w:hAnsi="Arial" w:cs="Arial"/>
          <w:b/>
          <w:sz w:val="24"/>
          <w:szCs w:val="24"/>
          <w:lang w:eastAsia="zh-CN"/>
        </w:rPr>
        <w:t xml:space="preserve"> </w:t>
      </w:r>
      <w:r w:rsidR="004E6D93">
        <w:rPr>
          <w:rFonts w:ascii="Arial" w:eastAsia="宋体" w:hAnsi="Arial" w:cs="Arial"/>
          <w:b/>
          <w:sz w:val="24"/>
          <w:szCs w:val="24"/>
          <w:lang w:eastAsia="zh-CN"/>
        </w:rPr>
        <w:t>May</w:t>
      </w:r>
      <w:r w:rsidR="00A21CEE">
        <w:rPr>
          <w:rFonts w:ascii="Arial" w:eastAsia="宋体" w:hAnsi="Arial" w:cs="Arial"/>
          <w:b/>
          <w:sz w:val="24"/>
          <w:szCs w:val="24"/>
          <w:lang w:eastAsia="zh-CN"/>
        </w:rPr>
        <w:t xml:space="preserve"> 2023</w:t>
      </w:r>
    </w:p>
    <w:p w14:paraId="5B7A30A1" w14:textId="77777777" w:rsidR="008B2C4F" w:rsidRPr="004A659A" w:rsidRDefault="008B2C4F" w:rsidP="008B2C4F">
      <w:pPr>
        <w:spacing w:after="120"/>
        <w:ind w:left="1985" w:hanging="1985"/>
        <w:rPr>
          <w:rFonts w:ascii="Arial" w:hAnsi="Arial" w:cs="Arial"/>
          <w:b/>
        </w:rPr>
      </w:pPr>
    </w:p>
    <w:p w14:paraId="79A86574" w14:textId="77777777" w:rsidR="008B2C4F" w:rsidRPr="004A659A" w:rsidRDefault="008B2C4F" w:rsidP="008B2C4F">
      <w:pPr>
        <w:spacing w:after="120"/>
        <w:ind w:left="1985" w:hanging="1985"/>
        <w:rPr>
          <w:rFonts w:ascii="Arial" w:hAnsi="Arial" w:cs="Arial"/>
          <w:bCs/>
        </w:rPr>
      </w:pPr>
      <w:r w:rsidRPr="004A659A">
        <w:rPr>
          <w:rFonts w:ascii="Arial" w:hAnsi="Arial" w:cs="Arial"/>
          <w:b/>
        </w:rPr>
        <w:t>Source:</w:t>
      </w:r>
      <w:r w:rsidRPr="004A659A">
        <w:rPr>
          <w:rFonts w:ascii="Arial" w:hAnsi="Arial" w:cs="Arial"/>
          <w:b/>
        </w:rPr>
        <w:tab/>
      </w:r>
      <w:r w:rsidRPr="004A659A">
        <w:rPr>
          <w:rFonts w:ascii="Arial" w:hAnsi="Arial" w:cs="Arial"/>
          <w:bCs/>
        </w:rPr>
        <w:t>Ericsson</w:t>
      </w:r>
    </w:p>
    <w:p w14:paraId="4C491298" w14:textId="5012AA5D" w:rsidR="008B2C4F" w:rsidRPr="004A659A" w:rsidRDefault="008B2C4F" w:rsidP="008B2C4F">
      <w:pPr>
        <w:spacing w:after="120"/>
        <w:ind w:left="1985" w:hanging="1985"/>
        <w:rPr>
          <w:rFonts w:ascii="Arial" w:hAnsi="Arial" w:cs="Arial"/>
          <w:bCs/>
        </w:rPr>
      </w:pPr>
      <w:r w:rsidRPr="004A659A">
        <w:rPr>
          <w:rFonts w:ascii="Arial" w:hAnsi="Arial" w:cs="Arial"/>
          <w:b/>
        </w:rPr>
        <w:t>Title:</w:t>
      </w:r>
      <w:r w:rsidRPr="004A659A">
        <w:rPr>
          <w:rFonts w:ascii="Arial" w:hAnsi="Arial" w:cs="Arial"/>
          <w:b/>
        </w:rPr>
        <w:tab/>
      </w:r>
      <w:r w:rsidR="00034736">
        <w:rPr>
          <w:rFonts w:ascii="Arial" w:hAnsi="Arial" w:cs="Arial"/>
          <w:bCs/>
        </w:rPr>
        <w:t>Discussion</w:t>
      </w:r>
      <w:r w:rsidR="00260A05">
        <w:rPr>
          <w:rFonts w:ascii="Arial" w:hAnsi="Arial" w:cs="Arial"/>
          <w:bCs/>
        </w:rPr>
        <w:t xml:space="preserve"> on</w:t>
      </w:r>
      <w:r w:rsidR="002D7C8B">
        <w:rPr>
          <w:rFonts w:ascii="Arial" w:hAnsi="Arial" w:cs="Arial"/>
          <w:bCs/>
        </w:rPr>
        <w:t xml:space="preserve"> general issue for</w:t>
      </w:r>
      <w:r w:rsidR="00260A05">
        <w:rPr>
          <w:rFonts w:ascii="Arial" w:hAnsi="Arial" w:cs="Arial"/>
          <w:bCs/>
        </w:rPr>
        <w:t xml:space="preserve"> ATG </w:t>
      </w:r>
      <w:r w:rsidR="00034736">
        <w:rPr>
          <w:rFonts w:ascii="Arial" w:hAnsi="Arial" w:cs="Arial"/>
          <w:bCs/>
        </w:rPr>
        <w:t>demodulation</w:t>
      </w:r>
    </w:p>
    <w:p w14:paraId="2A5B2A03" w14:textId="620C3D47" w:rsidR="008B2C4F" w:rsidRPr="004A659A" w:rsidRDefault="008B2C4F" w:rsidP="008B2C4F">
      <w:pPr>
        <w:spacing w:after="120"/>
        <w:ind w:left="1985" w:hanging="1985"/>
        <w:rPr>
          <w:rFonts w:ascii="Arial" w:hAnsi="Arial" w:cs="Arial"/>
          <w:bCs/>
        </w:rPr>
      </w:pPr>
      <w:r w:rsidRPr="004A659A">
        <w:rPr>
          <w:rFonts w:ascii="Arial" w:hAnsi="Arial" w:cs="Arial"/>
          <w:b/>
        </w:rPr>
        <w:t>Agenda item:</w:t>
      </w:r>
      <w:r w:rsidRPr="004A659A">
        <w:rPr>
          <w:rFonts w:ascii="Arial" w:hAnsi="Arial" w:cs="Arial"/>
          <w:b/>
        </w:rPr>
        <w:tab/>
      </w:r>
      <w:r w:rsidR="00860E1A" w:rsidRPr="00E63E11">
        <w:rPr>
          <w:rFonts w:ascii="Arial" w:hAnsi="Arial" w:cs="Arial"/>
          <w:bCs/>
        </w:rPr>
        <w:t>8.1</w:t>
      </w:r>
      <w:r w:rsidR="00E63E11" w:rsidRPr="00E63E11">
        <w:rPr>
          <w:rFonts w:ascii="Arial" w:hAnsi="Arial" w:cs="Arial"/>
          <w:bCs/>
        </w:rPr>
        <w:t>4</w:t>
      </w:r>
      <w:r w:rsidR="00E44E41" w:rsidRPr="00E63E11">
        <w:rPr>
          <w:rFonts w:ascii="Arial" w:hAnsi="Arial" w:cs="Arial"/>
          <w:bCs/>
        </w:rPr>
        <w:t>.5.</w:t>
      </w:r>
      <w:r w:rsidR="00034736" w:rsidRPr="00E63E11">
        <w:rPr>
          <w:rFonts w:ascii="Arial" w:hAnsi="Arial" w:cs="Arial"/>
          <w:bCs/>
        </w:rPr>
        <w:t>1</w:t>
      </w:r>
    </w:p>
    <w:p w14:paraId="066771EF" w14:textId="5D0F7AE0" w:rsidR="008B2C4F" w:rsidRPr="004A659A" w:rsidRDefault="008B2C4F" w:rsidP="008B2C4F">
      <w:pPr>
        <w:spacing w:after="120"/>
        <w:ind w:left="1985" w:hanging="1985"/>
        <w:rPr>
          <w:rFonts w:ascii="Arial" w:hAnsi="Arial" w:cs="Arial"/>
          <w:bCs/>
        </w:rPr>
      </w:pPr>
      <w:r w:rsidRPr="004A659A">
        <w:rPr>
          <w:rFonts w:ascii="Arial" w:hAnsi="Arial" w:cs="Arial"/>
          <w:b/>
        </w:rPr>
        <w:t>Document for:</w:t>
      </w:r>
      <w:r w:rsidRPr="004A659A">
        <w:rPr>
          <w:rFonts w:ascii="Arial" w:hAnsi="Arial" w:cs="Arial"/>
          <w:b/>
        </w:rPr>
        <w:tab/>
      </w:r>
      <w:r w:rsidR="00F16533" w:rsidRPr="004A659A">
        <w:rPr>
          <w:rFonts w:ascii="Arial" w:hAnsi="Arial" w:cs="Arial"/>
          <w:bCs/>
        </w:rPr>
        <w:t>D</w:t>
      </w:r>
      <w:r w:rsidR="003449A2" w:rsidRPr="004A659A">
        <w:rPr>
          <w:rFonts w:ascii="Arial" w:hAnsi="Arial" w:cs="Arial" w:hint="eastAsia"/>
          <w:bCs/>
        </w:rPr>
        <w:t>iscussion</w:t>
      </w:r>
    </w:p>
    <w:p w14:paraId="498AA42E" w14:textId="77777777" w:rsidR="008B2C4F" w:rsidRPr="004A659A" w:rsidRDefault="008B2C4F" w:rsidP="008B2C4F">
      <w:pPr>
        <w:pBdr>
          <w:bottom w:val="single" w:sz="4" w:space="1" w:color="auto"/>
        </w:pBdr>
        <w:rPr>
          <w:rFonts w:ascii="Arial" w:hAnsi="Arial" w:cs="Arial"/>
        </w:rPr>
      </w:pPr>
      <w:bookmarkStart w:id="1" w:name="_Hlk43883999"/>
      <w:bookmarkEnd w:id="0"/>
    </w:p>
    <w:p w14:paraId="66C9680D" w14:textId="2C7391C3" w:rsidR="008B2C4F" w:rsidRDefault="008B2C4F" w:rsidP="00CB7875">
      <w:pPr>
        <w:pStyle w:val="Heading1"/>
        <w:keepLines w:val="0"/>
        <w:numPr>
          <w:ilvl w:val="0"/>
          <w:numId w:val="4"/>
        </w:numPr>
        <w:pBdr>
          <w:top w:val="none" w:sz="0" w:space="0" w:color="auto"/>
        </w:pBdr>
        <w:spacing w:before="0" w:after="240"/>
        <w:ind w:right="284" w:hanging="720"/>
      </w:pPr>
      <w:r w:rsidRPr="004A659A">
        <w:t>Introduction</w:t>
      </w:r>
    </w:p>
    <w:p w14:paraId="57A9B7C7" w14:textId="552B0FBC" w:rsidR="008B2C4F" w:rsidRPr="00662DE5" w:rsidRDefault="00A21CEE" w:rsidP="00BA76D4">
      <w:pPr>
        <w:spacing w:afterLines="50" w:after="120"/>
        <w:rPr>
          <w:rFonts w:ascii="Arial" w:hAnsi="Arial" w:cs="Arial"/>
          <w:sz w:val="20"/>
          <w:szCs w:val="20"/>
        </w:rPr>
      </w:pPr>
      <w:bookmarkStart w:id="2" w:name="_Hlk528680199"/>
      <w:bookmarkEnd w:id="1"/>
      <w:r>
        <w:rPr>
          <w:rFonts w:ascii="Arial" w:hAnsi="Arial" w:cs="Arial"/>
          <w:szCs w:val="24"/>
          <w:lang w:val="en-GB"/>
        </w:rPr>
        <w:t xml:space="preserve">In the last meeting, RAN4 start the discussion on the ATG demodulation scenario, channel model, requirement scope etc. </w:t>
      </w:r>
      <w:r w:rsidR="000C4D43">
        <w:rPr>
          <w:rFonts w:ascii="Arial" w:hAnsi="Arial" w:cs="Arial"/>
          <w:szCs w:val="24"/>
          <w:lang w:val="en-GB"/>
        </w:rPr>
        <w:t xml:space="preserve">Companies got some agreements but there are many open issues in WF [1]. In this contribution, the open issues on general part will be furtherly analysed. </w:t>
      </w:r>
      <w:r w:rsidR="004E1A52" w:rsidRPr="00662DE5">
        <w:rPr>
          <w:rFonts w:ascii="Arial" w:hAnsi="Arial" w:cs="Arial"/>
          <w:sz w:val="20"/>
          <w:szCs w:val="20"/>
        </w:rPr>
        <w:t xml:space="preserve"> </w:t>
      </w:r>
      <w:r w:rsidR="00D63A3C" w:rsidRPr="00662DE5">
        <w:rPr>
          <w:rFonts w:ascii="Arial" w:hAnsi="Arial" w:cs="Arial"/>
          <w:sz w:val="20"/>
          <w:szCs w:val="20"/>
        </w:rPr>
        <w:t xml:space="preserve"> </w:t>
      </w:r>
    </w:p>
    <w:bookmarkEnd w:id="2"/>
    <w:p w14:paraId="24FC2D34" w14:textId="77777777" w:rsidR="008B2C4F" w:rsidRPr="004A659A" w:rsidRDefault="008B2C4F" w:rsidP="008B2C4F">
      <w:pPr>
        <w:pBdr>
          <w:bottom w:val="single" w:sz="4" w:space="1" w:color="auto"/>
        </w:pBdr>
        <w:rPr>
          <w:rFonts w:ascii="Arial" w:hAnsi="Arial" w:cs="Arial"/>
        </w:rPr>
      </w:pPr>
    </w:p>
    <w:p w14:paraId="795EEA8B" w14:textId="62EEA9CA" w:rsidR="008B2C4F" w:rsidRDefault="001816BC" w:rsidP="00CB7875">
      <w:pPr>
        <w:pStyle w:val="Heading1"/>
        <w:keepLines w:val="0"/>
        <w:numPr>
          <w:ilvl w:val="0"/>
          <w:numId w:val="4"/>
        </w:numPr>
        <w:pBdr>
          <w:top w:val="none" w:sz="0" w:space="0" w:color="auto"/>
        </w:pBdr>
        <w:spacing w:before="0" w:after="240"/>
        <w:ind w:right="284" w:hanging="720"/>
      </w:pPr>
      <w:r w:rsidRPr="004A659A">
        <w:t>Discussion</w:t>
      </w:r>
    </w:p>
    <w:p w14:paraId="05E8B8A8" w14:textId="048DB5AC" w:rsidR="007D51D0" w:rsidRDefault="007D51D0" w:rsidP="007D51D0">
      <w:pPr>
        <w:pStyle w:val="Heading2"/>
        <w:rPr>
          <w:lang w:eastAsia="ko-KR"/>
        </w:rPr>
      </w:pPr>
      <w:r>
        <w:rPr>
          <w:lang w:eastAsia="ko-KR"/>
        </w:rPr>
        <w:t>2.</w:t>
      </w:r>
      <w:r w:rsidR="006B0553">
        <w:rPr>
          <w:lang w:eastAsia="ko-KR"/>
        </w:rPr>
        <w:t>1</w:t>
      </w:r>
      <w:r>
        <w:rPr>
          <w:lang w:eastAsia="ko-KR"/>
        </w:rPr>
        <w:t xml:space="preserve"> Doppler shift in channel model</w:t>
      </w:r>
    </w:p>
    <w:p w14:paraId="5266B5B5" w14:textId="2C96D98F" w:rsidR="003A00B9" w:rsidRDefault="00000000" w:rsidP="003343B4">
      <w:pPr>
        <w:rPr>
          <w:rFonts w:ascii="Arial" w:hAnsi="Arial" w:cs="Arial"/>
          <w:sz w:val="20"/>
          <w:szCs w:val="20"/>
          <w:lang w:val="en-GB" w:eastAsia="en-US"/>
        </w:rPr>
      </w:pPr>
      <w:r>
        <w:rPr>
          <w:rFonts w:ascii="Times New Roman" w:hAnsi="Times New Roman" w:cs="Times New Roman"/>
          <w:b/>
          <w:i/>
          <w:iCs/>
          <w:sz w:val="21"/>
          <w:szCs w:val="21"/>
          <w:u w:val="single"/>
          <w:lang w:eastAsia="ko-KR"/>
        </w:rPr>
      </w:r>
      <w:r w:rsidR="006B1C5C">
        <w:rPr>
          <w:rFonts w:ascii="Times New Roman" w:hAnsi="Times New Roman" w:cs="Times New Roman"/>
          <w:b/>
          <w:i/>
          <w:iCs/>
          <w:sz w:val="21"/>
          <w:szCs w:val="21"/>
          <w:u w:val="single"/>
          <w:lang w:eastAsia="ko-KR"/>
        </w:rPr>
        <w:pict w14:anchorId="6AFA3B70">
          <v:shapetype id="_x0000_t202" coordsize="21600,21600" o:spt="202" path="m,l,21600r21600,l21600,xe">
            <v:stroke joinstyle="miter"/>
            <v:path gradientshapeok="t" o:connecttype="rect"/>
          </v:shapetype>
          <v:shape id="_x0000_s1027" type="#_x0000_t202" style="width:2in;height:2in;mso-wrap-style:none;mso-left-percent:-10001;mso-top-percent:-10001;mso-position-horizontal:absolute;mso-position-horizontal-relative:char;mso-position-vertical:absolute;mso-position-vertical-relative:line;mso-left-percent:-10001;mso-top-percent:-10001">
            <v:textbox style="mso-fit-shape-to-text:t">
              <w:txbxContent>
                <w:p w14:paraId="1CC72190" w14:textId="77777777" w:rsidR="00477F2A" w:rsidRPr="003A00B9" w:rsidRDefault="00477F2A" w:rsidP="003343B4">
                  <w:pPr>
                    <w:rPr>
                      <w:rFonts w:ascii="Times New Roman" w:hAnsi="Times New Roman" w:cs="Times New Roman"/>
                      <w:i/>
                      <w:iCs/>
                      <w:sz w:val="20"/>
                      <w:szCs w:val="20"/>
                      <w:lang w:val="en-GB" w:eastAsia="en-US"/>
                    </w:rPr>
                  </w:pPr>
                  <w:r w:rsidRPr="003A00B9">
                    <w:rPr>
                      <w:rFonts w:ascii="Times New Roman" w:hAnsi="Times New Roman" w:cs="Times New Roman"/>
                      <w:b/>
                      <w:i/>
                      <w:iCs/>
                      <w:sz w:val="21"/>
                      <w:szCs w:val="21"/>
                      <w:u w:val="single"/>
                      <w:lang w:eastAsia="ko-KR"/>
                    </w:rPr>
                    <w:t>Doppler shift assumption</w:t>
                  </w:r>
                </w:p>
                <w:p w14:paraId="1E5F5E1E" w14:textId="77777777" w:rsidR="00477F2A" w:rsidRPr="003A00B9" w:rsidRDefault="00477F2A" w:rsidP="003A00B9">
                  <w:pPr>
                    <w:autoSpaceDN w:val="0"/>
                    <w:spacing w:after="120"/>
                    <w:rPr>
                      <w:rFonts w:ascii="Times New Roman" w:eastAsia="宋体" w:hAnsi="Times New Roman" w:cs="Times New Roman"/>
                      <w:b/>
                      <w:bCs/>
                      <w:i/>
                      <w:iCs/>
                      <w:sz w:val="21"/>
                      <w:szCs w:val="21"/>
                    </w:rPr>
                  </w:pPr>
                  <w:r w:rsidRPr="003A00B9">
                    <w:rPr>
                      <w:rFonts w:ascii="Times New Roman" w:eastAsia="宋体" w:hAnsi="Times New Roman" w:cs="Times New Roman"/>
                      <w:b/>
                      <w:bCs/>
                      <w:i/>
                      <w:iCs/>
                      <w:sz w:val="21"/>
                      <w:szCs w:val="21"/>
                    </w:rPr>
                    <w:t>Agreement from GTW:</w:t>
                  </w:r>
                </w:p>
                <w:p w14:paraId="4BAA5F58" w14:textId="77777777" w:rsidR="00477F2A" w:rsidRPr="003A00B9" w:rsidRDefault="00477F2A" w:rsidP="003A00B9">
                  <w:pPr>
                    <w:pStyle w:val="ListParagraph"/>
                    <w:numPr>
                      <w:ilvl w:val="0"/>
                      <w:numId w:val="45"/>
                    </w:numPr>
                    <w:autoSpaceDN w:val="0"/>
                    <w:spacing w:after="120"/>
                    <w:rPr>
                      <w:rFonts w:ascii="Times New Roman" w:eastAsia="MS Mincho" w:hAnsi="Times New Roman" w:cs="Times New Roman"/>
                      <w:i/>
                      <w:iCs/>
                      <w:sz w:val="21"/>
                      <w:szCs w:val="21"/>
                    </w:rPr>
                  </w:pPr>
                  <w:r w:rsidRPr="003A00B9">
                    <w:rPr>
                      <w:rFonts w:ascii="Times New Roman" w:hAnsi="Times New Roman" w:cs="Times New Roman"/>
                      <w:i/>
                      <w:iCs/>
                      <w:sz w:val="21"/>
                      <w:szCs w:val="21"/>
                    </w:rPr>
                    <w:t>Align with RF session agreement on frequency error requirements with below values as starting point</w:t>
                  </w:r>
                </w:p>
                <w:p w14:paraId="62188085" w14:textId="77777777" w:rsidR="00477F2A" w:rsidRPr="003A00B9" w:rsidRDefault="00477F2A" w:rsidP="003A00B9">
                  <w:pPr>
                    <w:pStyle w:val="ListParagraph"/>
                    <w:numPr>
                      <w:ilvl w:val="1"/>
                      <w:numId w:val="46"/>
                    </w:numPr>
                    <w:autoSpaceDN w:val="0"/>
                    <w:spacing w:after="120"/>
                    <w:rPr>
                      <w:rFonts w:ascii="Times New Roman" w:hAnsi="Times New Roman" w:cs="Times New Roman"/>
                      <w:i/>
                      <w:iCs/>
                      <w:sz w:val="21"/>
                      <w:szCs w:val="21"/>
                    </w:rPr>
                  </w:pPr>
                  <w:r w:rsidRPr="003A00B9">
                    <w:rPr>
                      <w:rFonts w:ascii="Times New Roman" w:hAnsi="Times New Roman" w:cs="Times New Roman"/>
                      <w:i/>
                      <w:iCs/>
                      <w:sz w:val="21"/>
                      <w:szCs w:val="21"/>
                    </w:rPr>
                    <w:t>For FDD channel model, set Doppler as [220Hz]</w:t>
                  </w:r>
                </w:p>
                <w:p w14:paraId="61074814" w14:textId="77777777" w:rsidR="00477F2A" w:rsidRPr="003A00B9" w:rsidRDefault="00477F2A" w:rsidP="003A00B9">
                  <w:pPr>
                    <w:pStyle w:val="ListParagraph"/>
                    <w:numPr>
                      <w:ilvl w:val="1"/>
                      <w:numId w:val="46"/>
                    </w:numPr>
                    <w:autoSpaceDN w:val="0"/>
                    <w:spacing w:after="120"/>
                    <w:rPr>
                      <w:rFonts w:ascii="Times New Roman" w:hAnsi="Times New Roman" w:cs="Times New Roman"/>
                      <w:i/>
                      <w:iCs/>
                      <w:sz w:val="21"/>
                      <w:szCs w:val="21"/>
                    </w:rPr>
                  </w:pPr>
                  <w:r w:rsidRPr="003A00B9">
                    <w:rPr>
                      <w:rFonts w:ascii="Times New Roman" w:hAnsi="Times New Roman" w:cs="Times New Roman"/>
                      <w:i/>
                      <w:iCs/>
                      <w:sz w:val="21"/>
                      <w:szCs w:val="21"/>
                    </w:rPr>
                    <w:t xml:space="preserve">For TDD channel model, set Doppler as [400/500Hz]. </w:t>
                  </w:r>
                </w:p>
                <w:p w14:paraId="6F651854" w14:textId="77777777" w:rsidR="00477F2A" w:rsidRPr="003A00B9" w:rsidRDefault="00477F2A" w:rsidP="003A00B9">
                  <w:pPr>
                    <w:autoSpaceDN w:val="0"/>
                    <w:spacing w:after="120"/>
                    <w:rPr>
                      <w:rFonts w:ascii="Times New Roman" w:eastAsia="宋体" w:hAnsi="Times New Roman" w:cs="Times New Roman"/>
                      <w:b/>
                      <w:bCs/>
                      <w:i/>
                      <w:iCs/>
                      <w:sz w:val="21"/>
                      <w:szCs w:val="21"/>
                    </w:rPr>
                  </w:pPr>
                  <w:r w:rsidRPr="003A00B9">
                    <w:rPr>
                      <w:rFonts w:ascii="Times New Roman" w:eastAsia="宋体" w:hAnsi="Times New Roman" w:cs="Times New Roman"/>
                      <w:b/>
                      <w:bCs/>
                      <w:i/>
                      <w:iCs/>
                      <w:sz w:val="21"/>
                      <w:szCs w:val="21"/>
                    </w:rPr>
                    <w:t>FFS:</w:t>
                  </w:r>
                </w:p>
                <w:p w14:paraId="14635264" w14:textId="77777777" w:rsidR="00477F2A" w:rsidRPr="003A00B9" w:rsidRDefault="00477F2A" w:rsidP="003A00B9">
                  <w:pPr>
                    <w:pStyle w:val="ListParagraph"/>
                    <w:numPr>
                      <w:ilvl w:val="0"/>
                      <w:numId w:val="25"/>
                    </w:numPr>
                    <w:autoSpaceDN w:val="0"/>
                    <w:spacing w:after="120"/>
                    <w:rPr>
                      <w:rFonts w:ascii="Times New Roman" w:eastAsia="宋体" w:hAnsi="Times New Roman" w:cs="Times New Roman"/>
                      <w:i/>
                      <w:iCs/>
                      <w:sz w:val="21"/>
                      <w:szCs w:val="21"/>
                    </w:rPr>
                  </w:pPr>
                  <w:r w:rsidRPr="003A00B9">
                    <w:rPr>
                      <w:rFonts w:ascii="Times New Roman" w:eastAsia="宋体" w:hAnsi="Times New Roman" w:cs="Times New Roman"/>
                      <w:i/>
                      <w:iCs/>
                      <w:sz w:val="21"/>
                      <w:szCs w:val="21"/>
                    </w:rPr>
                    <w:t xml:space="preserve">For FDD channel model, </w:t>
                  </w:r>
                </w:p>
                <w:p w14:paraId="415C942E" w14:textId="77777777" w:rsidR="00477F2A" w:rsidRPr="003A00B9" w:rsidRDefault="00477F2A" w:rsidP="003A00B9">
                  <w:pPr>
                    <w:pStyle w:val="ListParagraph"/>
                    <w:numPr>
                      <w:ilvl w:val="1"/>
                      <w:numId w:val="25"/>
                    </w:numPr>
                    <w:autoSpaceDN w:val="0"/>
                    <w:spacing w:after="120"/>
                    <w:rPr>
                      <w:rFonts w:ascii="Times New Roman" w:eastAsia="宋体" w:hAnsi="Times New Roman" w:cs="Times New Roman"/>
                      <w:i/>
                      <w:iCs/>
                      <w:sz w:val="21"/>
                      <w:szCs w:val="21"/>
                    </w:rPr>
                  </w:pPr>
                  <w:r w:rsidRPr="003A00B9">
                    <w:rPr>
                      <w:rFonts w:ascii="Times New Roman" w:eastAsia="宋体" w:hAnsi="Times New Roman" w:cs="Times New Roman"/>
                      <w:i/>
                      <w:iCs/>
                      <w:sz w:val="21"/>
                      <w:szCs w:val="21"/>
                    </w:rPr>
                    <w:t>Option 1: set Doppler as 220Hz</w:t>
                  </w:r>
                </w:p>
                <w:p w14:paraId="17AD77FD" w14:textId="77777777" w:rsidR="00477F2A" w:rsidRPr="003A00B9" w:rsidRDefault="00477F2A" w:rsidP="003A00B9">
                  <w:pPr>
                    <w:pStyle w:val="ListParagraph"/>
                    <w:numPr>
                      <w:ilvl w:val="1"/>
                      <w:numId w:val="25"/>
                    </w:numPr>
                    <w:autoSpaceDN w:val="0"/>
                    <w:spacing w:after="120"/>
                    <w:rPr>
                      <w:rFonts w:ascii="Times New Roman" w:eastAsia="宋体" w:hAnsi="Times New Roman" w:cs="Times New Roman"/>
                      <w:i/>
                      <w:iCs/>
                      <w:sz w:val="21"/>
                      <w:szCs w:val="21"/>
                    </w:rPr>
                  </w:pPr>
                  <w:r w:rsidRPr="003A00B9">
                    <w:rPr>
                      <w:rFonts w:ascii="Times New Roman" w:eastAsia="宋体" w:hAnsi="Times New Roman" w:cs="Times New Roman"/>
                      <w:i/>
                      <w:iCs/>
                      <w:sz w:val="21"/>
                      <w:szCs w:val="21"/>
                    </w:rPr>
                    <w:t xml:space="preserve">Option 2: Set Doppler as 200Hz for UL, 220Hz for DL </w:t>
                  </w:r>
                </w:p>
                <w:p w14:paraId="74E0DF20" w14:textId="77777777" w:rsidR="00477F2A" w:rsidRPr="003A00B9" w:rsidRDefault="00477F2A" w:rsidP="003A00B9">
                  <w:pPr>
                    <w:pStyle w:val="ListParagraph"/>
                    <w:numPr>
                      <w:ilvl w:val="0"/>
                      <w:numId w:val="25"/>
                    </w:numPr>
                    <w:autoSpaceDN w:val="0"/>
                    <w:spacing w:after="120"/>
                    <w:rPr>
                      <w:rFonts w:ascii="Times New Roman" w:eastAsia="宋体" w:hAnsi="Times New Roman" w:cs="Times New Roman"/>
                      <w:i/>
                      <w:iCs/>
                      <w:sz w:val="21"/>
                      <w:szCs w:val="21"/>
                    </w:rPr>
                  </w:pPr>
                  <w:r w:rsidRPr="003A00B9">
                    <w:rPr>
                      <w:rFonts w:ascii="Times New Roman" w:eastAsia="宋体" w:hAnsi="Times New Roman" w:cs="Times New Roman"/>
                      <w:i/>
                      <w:iCs/>
                      <w:sz w:val="21"/>
                      <w:szCs w:val="21"/>
                    </w:rPr>
                    <w:t>For TDD channel model:</w:t>
                  </w:r>
                </w:p>
                <w:p w14:paraId="71DCD3FF" w14:textId="77777777" w:rsidR="00477F2A" w:rsidRPr="003A00B9" w:rsidRDefault="00477F2A" w:rsidP="003A00B9">
                  <w:pPr>
                    <w:pStyle w:val="ListParagraph"/>
                    <w:numPr>
                      <w:ilvl w:val="1"/>
                      <w:numId w:val="25"/>
                    </w:numPr>
                    <w:autoSpaceDN w:val="0"/>
                    <w:spacing w:after="120"/>
                    <w:rPr>
                      <w:rFonts w:ascii="Times New Roman" w:eastAsia="宋体" w:hAnsi="Times New Roman" w:cs="Times New Roman"/>
                      <w:i/>
                      <w:iCs/>
                      <w:sz w:val="21"/>
                      <w:szCs w:val="21"/>
                    </w:rPr>
                  </w:pPr>
                  <w:r w:rsidRPr="003A00B9">
                    <w:rPr>
                      <w:rFonts w:ascii="Times New Roman" w:eastAsia="宋体" w:hAnsi="Times New Roman" w:cs="Times New Roman"/>
                      <w:i/>
                      <w:iCs/>
                      <w:sz w:val="21"/>
                      <w:szCs w:val="21"/>
                    </w:rPr>
                    <w:t xml:space="preserve">Option 1: set Doppler as 400Hz. </w:t>
                  </w:r>
                </w:p>
                <w:p w14:paraId="3FBDC3C4" w14:textId="77777777" w:rsidR="00477F2A" w:rsidRPr="002A036F" w:rsidRDefault="00477F2A" w:rsidP="002A036F">
                  <w:pPr>
                    <w:pStyle w:val="ListParagraph"/>
                    <w:numPr>
                      <w:ilvl w:val="1"/>
                      <w:numId w:val="25"/>
                    </w:numPr>
                    <w:rPr>
                      <w:rFonts w:ascii="Times New Roman" w:eastAsia="宋体" w:hAnsi="Times New Roman" w:cs="Times New Roman"/>
                      <w:i/>
                      <w:iCs/>
                      <w:sz w:val="21"/>
                      <w:szCs w:val="21"/>
                    </w:rPr>
                  </w:pPr>
                  <w:r w:rsidRPr="003A00B9">
                    <w:rPr>
                      <w:rFonts w:ascii="Times New Roman" w:eastAsia="宋体" w:hAnsi="Times New Roman" w:cs="Times New Roman"/>
                      <w:i/>
                      <w:iCs/>
                      <w:sz w:val="21"/>
                      <w:szCs w:val="21"/>
                    </w:rPr>
                    <w:t>Option 2: set Doppler as 500Hz</w:t>
                  </w:r>
                </w:p>
              </w:txbxContent>
            </v:textbox>
            <w10:anchorlock/>
          </v:shape>
        </w:pict>
      </w:r>
    </w:p>
    <w:p w14:paraId="73677F31" w14:textId="196873F2" w:rsidR="009463A2" w:rsidRDefault="003A00B9" w:rsidP="003343B4">
      <w:pPr>
        <w:rPr>
          <w:rFonts w:ascii="Arial" w:hAnsi="Arial" w:cs="Arial"/>
          <w:sz w:val="20"/>
          <w:szCs w:val="20"/>
          <w:lang w:val="en-GB" w:eastAsia="en-US"/>
        </w:rPr>
      </w:pPr>
      <w:r>
        <w:rPr>
          <w:rFonts w:ascii="Arial" w:hAnsi="Arial" w:cs="Arial"/>
          <w:sz w:val="20"/>
          <w:szCs w:val="20"/>
          <w:lang w:val="en-GB" w:eastAsia="en-US"/>
        </w:rPr>
        <w:t>As agreed in previous meeting, 0.1ppm is assumed as Doppler shift after ATG UE compensation at current stage. Regarding different band will have different values, companies proposed options above for FDD and TDD</w:t>
      </w:r>
      <w:r w:rsidR="00BE2ECA">
        <w:rPr>
          <w:rFonts w:ascii="Arial" w:hAnsi="Arial" w:cs="Arial"/>
          <w:sz w:val="20"/>
          <w:szCs w:val="20"/>
          <w:lang w:val="en-GB" w:eastAsia="en-US"/>
        </w:rPr>
        <w:t xml:space="preserve"> </w:t>
      </w:r>
      <w:r>
        <w:rPr>
          <w:rFonts w:ascii="Arial" w:hAnsi="Arial" w:cs="Arial"/>
          <w:sz w:val="20"/>
          <w:szCs w:val="20"/>
          <w:lang w:val="en-GB" w:eastAsia="en-US"/>
        </w:rPr>
        <w:t xml:space="preserve">separately. </w:t>
      </w:r>
      <w:r w:rsidR="008F1B19">
        <w:rPr>
          <w:rFonts w:ascii="Arial" w:hAnsi="Arial" w:cs="Arial"/>
          <w:sz w:val="20"/>
          <w:szCs w:val="20"/>
          <w:lang w:val="en-GB" w:eastAsia="en-US"/>
        </w:rPr>
        <w:t>But</w:t>
      </w:r>
      <w:r w:rsidR="00425383">
        <w:rPr>
          <w:rFonts w:ascii="Arial" w:hAnsi="Arial" w:cs="Arial"/>
          <w:sz w:val="20"/>
          <w:szCs w:val="20"/>
          <w:lang w:val="en-GB" w:eastAsia="en-US"/>
        </w:rPr>
        <w:t xml:space="preserve"> it should be noted that</w:t>
      </w:r>
      <w:r w:rsidR="008F1B19">
        <w:rPr>
          <w:rFonts w:ascii="Arial" w:hAnsi="Arial" w:cs="Arial"/>
          <w:sz w:val="20"/>
          <w:szCs w:val="20"/>
          <w:lang w:val="en-GB" w:eastAsia="en-US"/>
        </w:rPr>
        <w:t xml:space="preserve"> the Doppler shift here is not Doppler spread</w:t>
      </w:r>
      <w:r w:rsidR="0092247C">
        <w:rPr>
          <w:rFonts w:ascii="Arial" w:hAnsi="Arial" w:cs="Arial"/>
          <w:sz w:val="20"/>
          <w:szCs w:val="20"/>
          <w:lang w:val="en-GB" w:eastAsia="en-US"/>
        </w:rPr>
        <w:t xml:space="preserve"> </w:t>
      </w:r>
      <w:r w:rsidR="008F1B19">
        <w:rPr>
          <w:rFonts w:ascii="Arial" w:hAnsi="Arial" w:cs="Arial"/>
          <w:sz w:val="20"/>
          <w:szCs w:val="20"/>
          <w:lang w:val="en-GB" w:eastAsia="en-US"/>
        </w:rPr>
        <w:t>and the agreed channel is AWGN.</w:t>
      </w:r>
      <w:r w:rsidR="0092247C">
        <w:rPr>
          <w:rFonts w:ascii="Arial" w:hAnsi="Arial" w:cs="Arial"/>
          <w:sz w:val="20"/>
          <w:szCs w:val="20"/>
          <w:lang w:val="en-GB" w:eastAsia="en-US"/>
        </w:rPr>
        <w:t xml:space="preserve"> The </w:t>
      </w:r>
      <w:r w:rsidR="001779DF">
        <w:rPr>
          <w:rFonts w:ascii="Arial" w:hAnsi="Arial" w:cs="Arial"/>
          <w:sz w:val="20"/>
          <w:szCs w:val="20"/>
          <w:lang w:val="en-GB" w:eastAsia="en-US"/>
        </w:rPr>
        <w:t xml:space="preserve">frequency difference is small between </w:t>
      </w:r>
      <w:r w:rsidR="00FB3A47">
        <w:rPr>
          <w:rFonts w:ascii="Arial" w:hAnsi="Arial" w:cs="Arial"/>
          <w:sz w:val="20"/>
          <w:szCs w:val="20"/>
          <w:lang w:val="en-GB" w:eastAsia="en-US"/>
        </w:rPr>
        <w:t xml:space="preserve">options. </w:t>
      </w:r>
      <w:r w:rsidR="008F1B19">
        <w:rPr>
          <w:rFonts w:ascii="Arial" w:hAnsi="Arial" w:cs="Arial"/>
          <w:sz w:val="20"/>
          <w:szCs w:val="20"/>
          <w:lang w:val="en-GB" w:eastAsia="en-US"/>
        </w:rPr>
        <w:t xml:space="preserve"> It should be no trouble to use relative higher value considering DM-RS 1+1 configuration is agreed.</w:t>
      </w:r>
    </w:p>
    <w:p w14:paraId="3B41D5CD" w14:textId="6B78BBDD" w:rsidR="009463A2" w:rsidRDefault="009463A2" w:rsidP="009463A2">
      <w:pPr>
        <w:pStyle w:val="Proposal"/>
        <w:rPr>
          <w:lang w:val="en-GB" w:eastAsia="en-US"/>
        </w:rPr>
      </w:pPr>
      <w:bookmarkStart w:id="3" w:name="_Toc135061428"/>
      <w:r>
        <w:rPr>
          <w:lang w:val="en-GB" w:eastAsia="en-US"/>
        </w:rPr>
        <w:t>Proposal</w:t>
      </w:r>
      <w:r w:rsidR="006B0553">
        <w:rPr>
          <w:lang w:val="en-GB" w:eastAsia="en-US"/>
        </w:rPr>
        <w:t xml:space="preserve"> 1</w:t>
      </w:r>
      <w:r>
        <w:rPr>
          <w:lang w:val="en-GB" w:eastAsia="en-US"/>
        </w:rPr>
        <w:t>: Take following Doppler shift for ATG channel.</w:t>
      </w:r>
      <w:bookmarkEnd w:id="3"/>
    </w:p>
    <w:p w14:paraId="43E4F95D" w14:textId="29933EBC" w:rsidR="009463A2" w:rsidRDefault="009463A2" w:rsidP="009463A2">
      <w:pPr>
        <w:pStyle w:val="Proposal"/>
        <w:numPr>
          <w:ilvl w:val="0"/>
          <w:numId w:val="47"/>
        </w:numPr>
        <w:rPr>
          <w:lang w:val="en-GB" w:eastAsia="en-US"/>
        </w:rPr>
      </w:pPr>
      <w:bookmarkStart w:id="4" w:name="_Toc135061429"/>
      <w:r>
        <w:rPr>
          <w:lang w:val="en-GB" w:eastAsia="en-US"/>
        </w:rPr>
        <w:lastRenderedPageBreak/>
        <w:t>FDD: 220Hz for both UL and DL</w:t>
      </w:r>
      <w:bookmarkEnd w:id="4"/>
    </w:p>
    <w:p w14:paraId="2DBA360D" w14:textId="0B0CDD99" w:rsidR="009463A2" w:rsidRDefault="009463A2" w:rsidP="009463A2">
      <w:pPr>
        <w:pStyle w:val="Proposal"/>
        <w:numPr>
          <w:ilvl w:val="0"/>
          <w:numId w:val="47"/>
        </w:numPr>
        <w:rPr>
          <w:lang w:val="en-GB" w:eastAsia="en-US"/>
        </w:rPr>
      </w:pPr>
      <w:bookmarkStart w:id="5" w:name="_Toc135061430"/>
      <w:r>
        <w:rPr>
          <w:lang w:val="en-GB" w:eastAsia="en-US"/>
        </w:rPr>
        <w:t>TDD: 500Hz for both UL and DL</w:t>
      </w:r>
      <w:bookmarkEnd w:id="5"/>
    </w:p>
    <w:p w14:paraId="32C83F18" w14:textId="64877289" w:rsidR="007D51D0" w:rsidRDefault="008F1B19" w:rsidP="003343B4">
      <w:pPr>
        <w:rPr>
          <w:rFonts w:ascii="Arial" w:hAnsi="Arial" w:cs="Arial"/>
          <w:sz w:val="20"/>
          <w:szCs w:val="20"/>
          <w:lang w:val="en-GB" w:eastAsia="en-US"/>
        </w:rPr>
      </w:pPr>
      <w:r>
        <w:rPr>
          <w:rFonts w:ascii="Arial" w:hAnsi="Arial" w:cs="Arial"/>
          <w:sz w:val="20"/>
          <w:szCs w:val="20"/>
          <w:lang w:val="en-GB" w:eastAsia="en-US"/>
        </w:rPr>
        <w:t xml:space="preserve"> </w:t>
      </w:r>
    </w:p>
    <w:p w14:paraId="14E441BB" w14:textId="620D4FCD" w:rsidR="007D51D0" w:rsidRDefault="007D51D0" w:rsidP="007D51D0">
      <w:pPr>
        <w:pStyle w:val="Heading2"/>
        <w:rPr>
          <w:lang w:val="en-GB" w:eastAsia="en-US"/>
        </w:rPr>
      </w:pPr>
      <w:r>
        <w:rPr>
          <w:lang w:val="en-GB" w:eastAsia="en-US"/>
        </w:rPr>
        <w:t>2.</w:t>
      </w:r>
      <w:r w:rsidR="005335C3">
        <w:rPr>
          <w:lang w:val="en-GB" w:eastAsia="en-US"/>
        </w:rPr>
        <w:t>2</w:t>
      </w:r>
      <w:r>
        <w:rPr>
          <w:lang w:val="en-GB" w:eastAsia="en-US"/>
        </w:rPr>
        <w:t xml:space="preserve"> TDD pattern </w:t>
      </w:r>
    </w:p>
    <w:p w14:paraId="79C6B549" w14:textId="50C9315A" w:rsidR="007D51D0" w:rsidRDefault="00000000" w:rsidP="007D51D0">
      <w:pPr>
        <w:rPr>
          <w:lang w:val="en-GB" w:eastAsia="en-US"/>
        </w:rPr>
      </w:pPr>
      <w:r>
        <w:rPr>
          <w:rFonts w:ascii="Times New Roman" w:hAnsi="Times New Roman" w:cs="Times New Roman"/>
          <w:b/>
          <w:i/>
          <w:iCs/>
          <w:sz w:val="21"/>
          <w:szCs w:val="21"/>
          <w:u w:val="single"/>
          <w:lang w:eastAsia="ko-KR"/>
        </w:rPr>
      </w:r>
      <w:r w:rsidR="006B1C5C">
        <w:rPr>
          <w:rFonts w:ascii="Times New Roman" w:hAnsi="Times New Roman" w:cs="Times New Roman"/>
          <w:b/>
          <w:i/>
          <w:iCs/>
          <w:sz w:val="21"/>
          <w:szCs w:val="21"/>
          <w:u w:val="single"/>
          <w:lang w:eastAsia="ko-KR"/>
        </w:rPr>
        <w:pict w14:anchorId="53E34067">
          <v:shape id="_x0000_s1026" type="#_x0000_t202" style="width:2in;height:2in;mso-wrap-style:none;mso-left-percent:-10001;mso-top-percent:-10001;mso-position-horizontal:absolute;mso-position-horizontal-relative:char;mso-position-vertical:absolute;mso-position-vertical-relative:line;mso-left-percent:-10001;mso-top-percent:-10001">
            <v:textbox style="mso-fit-shape-to-text:t">
              <w:txbxContent>
                <w:p w14:paraId="502A8E94" w14:textId="77777777" w:rsidR="00477F2A" w:rsidRPr="003A00B9" w:rsidRDefault="00477F2A" w:rsidP="00204BFA">
                  <w:pPr>
                    <w:rPr>
                      <w:rFonts w:ascii="Times New Roman" w:hAnsi="Times New Roman" w:cs="Times New Roman"/>
                      <w:b/>
                      <w:i/>
                      <w:iCs/>
                      <w:sz w:val="21"/>
                      <w:szCs w:val="21"/>
                      <w:u w:val="single"/>
                      <w:lang w:eastAsia="ko-KR"/>
                    </w:rPr>
                  </w:pPr>
                  <w:r w:rsidRPr="003A00B9">
                    <w:rPr>
                      <w:rFonts w:ascii="Times New Roman" w:hAnsi="Times New Roman" w:cs="Times New Roman"/>
                      <w:b/>
                      <w:i/>
                      <w:iCs/>
                      <w:sz w:val="21"/>
                      <w:szCs w:val="21"/>
                      <w:u w:val="single"/>
                      <w:lang w:eastAsia="ko-KR"/>
                    </w:rPr>
                    <w:t>TDD pattern</w:t>
                  </w:r>
                </w:p>
                <w:p w14:paraId="0BAC9178" w14:textId="77777777" w:rsidR="00477F2A" w:rsidRPr="003A00B9" w:rsidRDefault="00477F2A" w:rsidP="00204BFA">
                  <w:pPr>
                    <w:pStyle w:val="ListParagraph"/>
                    <w:numPr>
                      <w:ilvl w:val="0"/>
                      <w:numId w:val="25"/>
                    </w:numPr>
                    <w:autoSpaceDN w:val="0"/>
                    <w:spacing w:after="120"/>
                    <w:ind w:left="1212"/>
                    <w:rPr>
                      <w:rFonts w:ascii="Times New Roman" w:eastAsia="宋体" w:hAnsi="Times New Roman" w:cs="Times New Roman"/>
                      <w:i/>
                      <w:iCs/>
                      <w:sz w:val="21"/>
                      <w:szCs w:val="21"/>
                      <w:lang w:val="en-GB"/>
                    </w:rPr>
                  </w:pPr>
                  <w:r w:rsidRPr="003A00B9">
                    <w:rPr>
                      <w:rFonts w:ascii="Times New Roman" w:eastAsia="宋体" w:hAnsi="Times New Roman" w:cs="Times New Roman"/>
                      <w:i/>
                      <w:iCs/>
                      <w:sz w:val="21"/>
                      <w:szCs w:val="21"/>
                    </w:rPr>
                    <w:t xml:space="preserve">Option 1: Define a new TDD pattern 30D4S6U which </w:t>
                  </w:r>
                  <w:r w:rsidRPr="003A00B9">
                    <w:rPr>
                      <w:rFonts w:ascii="Times New Roman" w:eastAsia="宋体" w:hAnsi="Times New Roman" w:cs="Times New Roman"/>
                      <w:b/>
                      <w:bCs/>
                      <w:i/>
                      <w:iCs/>
                      <w:sz w:val="21"/>
                      <w:szCs w:val="21"/>
                    </w:rPr>
                    <w:t>only applied for ATG scenario</w:t>
                  </w:r>
                  <w:r w:rsidRPr="003A00B9">
                    <w:rPr>
                      <w:rFonts w:ascii="Times New Roman" w:eastAsia="宋体" w:hAnsi="Times New Roman" w:cs="Times New Roman"/>
                      <w:i/>
                      <w:iCs/>
                      <w:sz w:val="21"/>
                      <w:szCs w:val="21"/>
                    </w:rPr>
                    <w:t xml:space="preserve">. </w:t>
                  </w:r>
                </w:p>
                <w:p w14:paraId="765569EE" w14:textId="77777777" w:rsidR="00477F2A" w:rsidRPr="003A00B9" w:rsidRDefault="00477F2A" w:rsidP="00204BFA">
                  <w:pPr>
                    <w:pStyle w:val="ListParagraph"/>
                    <w:numPr>
                      <w:ilvl w:val="0"/>
                      <w:numId w:val="25"/>
                    </w:numPr>
                    <w:autoSpaceDN w:val="0"/>
                    <w:spacing w:after="120"/>
                    <w:ind w:left="1212"/>
                    <w:rPr>
                      <w:rFonts w:ascii="Times New Roman" w:eastAsia="宋体" w:hAnsi="Times New Roman" w:cs="Times New Roman"/>
                      <w:i/>
                      <w:iCs/>
                      <w:sz w:val="21"/>
                      <w:szCs w:val="21"/>
                    </w:rPr>
                  </w:pPr>
                  <w:r w:rsidRPr="003A00B9">
                    <w:rPr>
                      <w:rFonts w:ascii="Times New Roman" w:eastAsia="宋体" w:hAnsi="Times New Roman" w:cs="Times New Roman"/>
                      <w:i/>
                      <w:iCs/>
                      <w:sz w:val="21"/>
                      <w:szCs w:val="21"/>
                    </w:rPr>
                    <w:t>Option 2:</w:t>
                  </w:r>
                  <w:r w:rsidRPr="003A00B9">
                    <w:rPr>
                      <w:rFonts w:ascii="Times New Roman" w:eastAsia="Yu Mincho" w:hAnsi="Times New Roman" w:cs="Times New Roman"/>
                      <w:i/>
                      <w:iCs/>
                      <w:sz w:val="21"/>
                      <w:szCs w:val="21"/>
                    </w:rPr>
                    <w:t xml:space="preserve"> Proceed with typical TDD pattern for requirement, further check the performance if the new TDD pattern is agreed to be introduced</w:t>
                  </w:r>
                </w:p>
                <w:p w14:paraId="45CDB849" w14:textId="77777777" w:rsidR="00477F2A" w:rsidRPr="003A00B9" w:rsidRDefault="00477F2A" w:rsidP="00204BFA">
                  <w:pPr>
                    <w:pStyle w:val="ListParagraph"/>
                    <w:numPr>
                      <w:ilvl w:val="1"/>
                      <w:numId w:val="25"/>
                    </w:numPr>
                    <w:autoSpaceDN w:val="0"/>
                    <w:spacing w:after="120"/>
                    <w:ind w:left="1932"/>
                    <w:rPr>
                      <w:rFonts w:ascii="Times New Roman" w:eastAsia="宋体" w:hAnsi="Times New Roman" w:cs="Times New Roman"/>
                      <w:i/>
                      <w:iCs/>
                      <w:sz w:val="21"/>
                      <w:szCs w:val="21"/>
                    </w:rPr>
                  </w:pPr>
                  <w:r w:rsidRPr="003A00B9">
                    <w:rPr>
                      <w:rFonts w:ascii="Times New Roman" w:eastAsia="Yu Mincho" w:hAnsi="Times New Roman" w:cs="Times New Roman"/>
                      <w:i/>
                      <w:iCs/>
                      <w:sz w:val="21"/>
                      <w:szCs w:val="21"/>
                    </w:rPr>
                    <w:t xml:space="preserve">RF, RRM and </w:t>
                  </w:r>
                  <w:proofErr w:type="spellStart"/>
                  <w:r w:rsidRPr="003A00B9">
                    <w:rPr>
                      <w:rFonts w:ascii="Times New Roman" w:eastAsia="Yu Mincho" w:hAnsi="Times New Roman" w:cs="Times New Roman"/>
                      <w:i/>
                      <w:iCs/>
                      <w:sz w:val="21"/>
                      <w:szCs w:val="21"/>
                    </w:rPr>
                    <w:t>Demod</w:t>
                  </w:r>
                  <w:proofErr w:type="spellEnd"/>
                  <w:r w:rsidRPr="003A00B9">
                    <w:rPr>
                      <w:rFonts w:ascii="Times New Roman" w:eastAsia="Yu Mincho" w:hAnsi="Times New Roman" w:cs="Times New Roman"/>
                      <w:i/>
                      <w:iCs/>
                      <w:sz w:val="21"/>
                      <w:szCs w:val="21"/>
                    </w:rPr>
                    <w:t xml:space="preserve"> sessions should keep the consistency on the agreement for the necessary of new TDD pattern for ATG scenario.</w:t>
                  </w:r>
                </w:p>
                <w:p w14:paraId="0023A6DC" w14:textId="77777777" w:rsidR="00477F2A" w:rsidRPr="003A00B9" w:rsidRDefault="00477F2A" w:rsidP="00204BFA">
                  <w:pPr>
                    <w:pStyle w:val="ListParagraph"/>
                    <w:numPr>
                      <w:ilvl w:val="1"/>
                      <w:numId w:val="25"/>
                    </w:numPr>
                    <w:autoSpaceDN w:val="0"/>
                    <w:spacing w:after="120"/>
                    <w:ind w:left="1932"/>
                    <w:rPr>
                      <w:rFonts w:ascii="Times New Roman" w:eastAsia="宋体" w:hAnsi="Times New Roman" w:cs="Times New Roman"/>
                      <w:i/>
                      <w:iCs/>
                      <w:sz w:val="21"/>
                      <w:szCs w:val="21"/>
                    </w:rPr>
                  </w:pPr>
                  <w:r w:rsidRPr="003A00B9">
                    <w:rPr>
                      <w:rFonts w:ascii="Times New Roman" w:eastAsia="Yu Mincho" w:hAnsi="Times New Roman" w:cs="Times New Roman"/>
                      <w:i/>
                      <w:iCs/>
                      <w:sz w:val="21"/>
                      <w:szCs w:val="21"/>
                    </w:rPr>
                    <w:t>Start with FDD requirement configuration if companies cannot get consensus on TDD pattern issue easily</w:t>
                  </w:r>
                </w:p>
                <w:p w14:paraId="72C4ED55" w14:textId="77777777" w:rsidR="00477F2A" w:rsidRPr="0086605E" w:rsidRDefault="00477F2A" w:rsidP="0086605E">
                  <w:pPr>
                    <w:pStyle w:val="ListParagraph"/>
                    <w:numPr>
                      <w:ilvl w:val="0"/>
                      <w:numId w:val="25"/>
                    </w:numPr>
                    <w:rPr>
                      <w:rFonts w:ascii="Times New Roman" w:eastAsia="宋体" w:hAnsi="Times New Roman" w:cs="Times New Roman"/>
                      <w:i/>
                      <w:iCs/>
                      <w:sz w:val="21"/>
                      <w:szCs w:val="21"/>
                    </w:rPr>
                  </w:pPr>
                  <w:r w:rsidRPr="003A00B9">
                    <w:rPr>
                      <w:rFonts w:ascii="Times New Roman" w:eastAsia="宋体" w:hAnsi="Times New Roman" w:cs="Times New Roman"/>
                      <w:i/>
                      <w:iCs/>
                      <w:sz w:val="21"/>
                      <w:szCs w:val="21"/>
                    </w:rPr>
                    <w:t>Option 3: If new dedicated TDD pattern is considered, note should be added in the specification that this is pattern is for ATG scenario used only.</w:t>
                  </w:r>
                </w:p>
              </w:txbxContent>
            </v:textbox>
            <w10:anchorlock/>
          </v:shape>
        </w:pict>
      </w:r>
    </w:p>
    <w:p w14:paraId="20939137" w14:textId="5037BAFF" w:rsidR="00697838" w:rsidRDefault="00697838" w:rsidP="00697838">
      <w:pPr>
        <w:rPr>
          <w:rFonts w:ascii="Arial" w:hAnsi="Arial" w:cs="Arial"/>
          <w:sz w:val="20"/>
          <w:szCs w:val="20"/>
        </w:rPr>
      </w:pPr>
      <w:r>
        <w:rPr>
          <w:rFonts w:ascii="Arial" w:hAnsi="Arial" w:cs="Arial"/>
          <w:sz w:val="20"/>
          <w:szCs w:val="20"/>
        </w:rPr>
        <w:t xml:space="preserve">The TDD issue is raised due to the very large propagation delay between ATG UE and BS, the timing advance for UL feedback would be possibly aggress the DL slot in the worst case </w:t>
      </w:r>
      <w:r w:rsidRPr="00C44A83">
        <w:rPr>
          <w:rFonts w:ascii="Arial" w:hAnsi="Arial" w:cs="Arial"/>
          <w:sz w:val="20"/>
          <w:szCs w:val="20"/>
        </w:rPr>
        <w:t>(i.e., ISD&gt;=200km).</w:t>
      </w:r>
      <w:r>
        <w:rPr>
          <w:rFonts w:ascii="Arial" w:hAnsi="Arial" w:cs="Arial"/>
          <w:sz w:val="20"/>
          <w:szCs w:val="20"/>
        </w:rPr>
        <w:t xml:space="preserve"> To avoid this happening, some companies propose to consider new TDD pattern with much longer DL slots and guard period. This issue would impact RF coexistence, RRM timing </w:t>
      </w:r>
      <w:proofErr w:type="gramStart"/>
      <w:r>
        <w:rPr>
          <w:rFonts w:ascii="Arial" w:hAnsi="Arial" w:cs="Arial"/>
          <w:sz w:val="20"/>
          <w:szCs w:val="20"/>
        </w:rPr>
        <w:t>and also</w:t>
      </w:r>
      <w:proofErr w:type="gramEnd"/>
      <w:r>
        <w:rPr>
          <w:rFonts w:ascii="Arial" w:hAnsi="Arial" w:cs="Arial"/>
          <w:sz w:val="20"/>
          <w:szCs w:val="20"/>
        </w:rPr>
        <w:t xml:space="preserve"> </w:t>
      </w:r>
      <w:proofErr w:type="spellStart"/>
      <w:r>
        <w:rPr>
          <w:rFonts w:ascii="Arial" w:hAnsi="Arial" w:cs="Arial"/>
          <w:sz w:val="20"/>
          <w:szCs w:val="20"/>
        </w:rPr>
        <w:t>Demod</w:t>
      </w:r>
      <w:proofErr w:type="spellEnd"/>
      <w:r>
        <w:rPr>
          <w:rFonts w:ascii="Arial" w:hAnsi="Arial" w:cs="Arial"/>
          <w:sz w:val="20"/>
          <w:szCs w:val="20"/>
        </w:rPr>
        <w:t xml:space="preserve">, so an aligned agreement should be made among all three sessions. </w:t>
      </w:r>
      <w:r w:rsidR="00AD7B06">
        <w:rPr>
          <w:rFonts w:ascii="Arial" w:hAnsi="Arial" w:cs="Arial"/>
          <w:sz w:val="20"/>
          <w:szCs w:val="20"/>
        </w:rPr>
        <w:t>Otherwise, it is hard to say a new TDD pattern can be applied in commercial network</w:t>
      </w:r>
      <w:r w:rsidR="005425F0">
        <w:rPr>
          <w:rFonts w:ascii="Arial" w:hAnsi="Arial" w:cs="Arial"/>
          <w:sz w:val="20"/>
          <w:szCs w:val="20"/>
        </w:rPr>
        <w:t xml:space="preserve">, and it is not reasonable let product to support such kind of TDD pattern. </w:t>
      </w:r>
    </w:p>
    <w:p w14:paraId="5A681A97" w14:textId="1D964181" w:rsidR="006B0553" w:rsidRDefault="006B0553" w:rsidP="00697838">
      <w:pPr>
        <w:rPr>
          <w:rFonts w:ascii="Arial" w:hAnsi="Arial" w:cs="Arial"/>
          <w:sz w:val="20"/>
          <w:szCs w:val="20"/>
        </w:rPr>
      </w:pPr>
      <w:r>
        <w:rPr>
          <w:rFonts w:ascii="Arial" w:hAnsi="Arial" w:cs="Arial"/>
          <w:sz w:val="20"/>
          <w:szCs w:val="20"/>
        </w:rPr>
        <w:t xml:space="preserve">In previous meeting, the new TDD pattern (30D4S6U) was only brought up in </w:t>
      </w:r>
      <w:proofErr w:type="spellStart"/>
      <w:r>
        <w:rPr>
          <w:rFonts w:ascii="Arial" w:hAnsi="Arial" w:cs="Arial"/>
          <w:sz w:val="20"/>
          <w:szCs w:val="20"/>
        </w:rPr>
        <w:t>Demod</w:t>
      </w:r>
      <w:proofErr w:type="spellEnd"/>
      <w:r>
        <w:rPr>
          <w:rFonts w:ascii="Arial" w:hAnsi="Arial" w:cs="Arial"/>
          <w:sz w:val="20"/>
          <w:szCs w:val="20"/>
        </w:rPr>
        <w:t xml:space="preserve"> session</w:t>
      </w:r>
      <w:r w:rsidR="00F45A0E">
        <w:rPr>
          <w:rFonts w:ascii="Arial" w:hAnsi="Arial" w:cs="Arial"/>
          <w:sz w:val="20"/>
          <w:szCs w:val="20"/>
        </w:rPr>
        <w:t xml:space="preserve"> and</w:t>
      </w:r>
      <w:r>
        <w:rPr>
          <w:rFonts w:ascii="Arial" w:hAnsi="Arial" w:cs="Arial"/>
          <w:sz w:val="20"/>
          <w:szCs w:val="20"/>
        </w:rPr>
        <w:t xml:space="preserve"> </w:t>
      </w:r>
      <w:r w:rsidR="00F45A0E">
        <w:rPr>
          <w:rFonts w:ascii="Arial" w:hAnsi="Arial" w:cs="Arial"/>
          <w:sz w:val="20"/>
          <w:szCs w:val="20"/>
        </w:rPr>
        <w:t>t</w:t>
      </w:r>
      <w:r w:rsidR="00D35A85">
        <w:rPr>
          <w:rFonts w:ascii="Arial" w:hAnsi="Arial" w:cs="Arial"/>
          <w:sz w:val="20"/>
          <w:szCs w:val="20"/>
        </w:rPr>
        <w:t xml:space="preserve">he feasibility of the new TDD pattern </w:t>
      </w:r>
      <w:r w:rsidR="00F45A0E">
        <w:rPr>
          <w:rFonts w:ascii="Arial" w:hAnsi="Arial" w:cs="Arial"/>
          <w:sz w:val="20"/>
          <w:szCs w:val="20"/>
        </w:rPr>
        <w:t>was</w:t>
      </w:r>
      <w:r w:rsidR="00D35A85">
        <w:rPr>
          <w:rFonts w:ascii="Arial" w:hAnsi="Arial" w:cs="Arial"/>
          <w:sz w:val="20"/>
          <w:szCs w:val="20"/>
        </w:rPr>
        <w:t xml:space="preserve"> discussed.</w:t>
      </w:r>
      <w:r w:rsidR="00AD7B06">
        <w:rPr>
          <w:rFonts w:ascii="Arial" w:hAnsi="Arial" w:cs="Arial"/>
          <w:sz w:val="20"/>
          <w:szCs w:val="20"/>
        </w:rPr>
        <w:t xml:space="preserve"> </w:t>
      </w:r>
      <w:r w:rsidR="006A271A">
        <w:rPr>
          <w:rFonts w:ascii="Arial" w:hAnsi="Arial" w:cs="Arial"/>
          <w:sz w:val="20"/>
          <w:szCs w:val="20"/>
        </w:rPr>
        <w:t>Following are main arguments:</w:t>
      </w:r>
    </w:p>
    <w:p w14:paraId="285BB659" w14:textId="5A9CB503" w:rsidR="006A271A" w:rsidRPr="006652C0" w:rsidRDefault="006A271A" w:rsidP="006A271A">
      <w:pPr>
        <w:pStyle w:val="ListParagraph"/>
        <w:numPr>
          <w:ilvl w:val="0"/>
          <w:numId w:val="48"/>
        </w:numPr>
        <w:rPr>
          <w:rFonts w:ascii="Arial" w:hAnsi="Arial" w:cs="Arial"/>
          <w:sz w:val="20"/>
          <w:szCs w:val="20"/>
        </w:rPr>
      </w:pPr>
      <w:r>
        <w:rPr>
          <w:rFonts w:ascii="Arial" w:hAnsi="Arial" w:cs="Arial"/>
          <w:sz w:val="20"/>
          <w:szCs w:val="20"/>
        </w:rPr>
        <w:t xml:space="preserve">Co-existing interference with legacy TDD pattern. This is the major issue caused by new TDD pattern. </w:t>
      </w:r>
      <w:r w:rsidR="00837416">
        <w:rPr>
          <w:rFonts w:ascii="Arial" w:hAnsi="Arial" w:cs="Arial"/>
          <w:sz w:val="20"/>
          <w:szCs w:val="20"/>
        </w:rPr>
        <w:t xml:space="preserve">Some companies argued that the new pattern could be considered in only ATG scenario which means the ATG network is </w:t>
      </w:r>
      <w:r w:rsidR="00F26416">
        <w:rPr>
          <w:rFonts w:ascii="Arial" w:hAnsi="Arial" w:cs="Arial"/>
          <w:sz w:val="20"/>
          <w:szCs w:val="20"/>
        </w:rPr>
        <w:t>far away</w:t>
      </w:r>
      <w:r w:rsidR="00837416">
        <w:rPr>
          <w:rFonts w:ascii="Arial" w:hAnsi="Arial" w:cs="Arial"/>
          <w:sz w:val="20"/>
          <w:szCs w:val="20"/>
        </w:rPr>
        <w:t xml:space="preserve"> from TN network.</w:t>
      </w:r>
      <w:r w:rsidR="00F25804">
        <w:rPr>
          <w:rFonts w:ascii="Arial" w:hAnsi="Arial" w:cs="Arial"/>
          <w:sz w:val="20"/>
          <w:szCs w:val="20"/>
        </w:rPr>
        <w:t xml:space="preserve"> But the isolation distance could be </w:t>
      </w:r>
      <w:r w:rsidR="005D19BC">
        <w:rPr>
          <w:rFonts w:ascii="Arial" w:hAnsi="Arial" w:cs="Arial"/>
          <w:sz w:val="20"/>
          <w:szCs w:val="20"/>
        </w:rPr>
        <w:t xml:space="preserve">at least </w:t>
      </w:r>
      <w:r w:rsidR="00F25804">
        <w:rPr>
          <w:rFonts w:ascii="Arial" w:hAnsi="Arial" w:cs="Arial"/>
          <w:sz w:val="20"/>
          <w:szCs w:val="20"/>
        </w:rPr>
        <w:t>50km</w:t>
      </w:r>
      <w:r w:rsidR="00B55EA9">
        <w:rPr>
          <w:rFonts w:ascii="Arial" w:hAnsi="Arial" w:cs="Arial"/>
          <w:sz w:val="20"/>
          <w:szCs w:val="20"/>
        </w:rPr>
        <w:t xml:space="preserve"> based on our simulations [</w:t>
      </w:r>
      <w:r w:rsidR="00583411">
        <w:rPr>
          <w:rFonts w:ascii="Arial" w:hAnsi="Arial" w:cs="Arial"/>
          <w:sz w:val="20"/>
          <w:szCs w:val="20"/>
        </w:rPr>
        <w:t>6</w:t>
      </w:r>
      <w:r w:rsidR="00B55EA9">
        <w:rPr>
          <w:rFonts w:ascii="Arial" w:hAnsi="Arial" w:cs="Arial"/>
          <w:sz w:val="20"/>
          <w:szCs w:val="20"/>
        </w:rPr>
        <w:t>]</w:t>
      </w:r>
      <w:r w:rsidR="00BA6234">
        <w:rPr>
          <w:rFonts w:ascii="Arial" w:hAnsi="Arial" w:cs="Arial"/>
          <w:sz w:val="20"/>
          <w:szCs w:val="20"/>
        </w:rPr>
        <w:t xml:space="preserve">. </w:t>
      </w:r>
      <w:r w:rsidR="0091145E">
        <w:rPr>
          <w:rFonts w:ascii="Arial" w:hAnsi="Arial" w:cs="Arial"/>
          <w:sz w:val="20"/>
          <w:szCs w:val="20"/>
        </w:rPr>
        <w:t xml:space="preserve">With this distance, the throughput degradation on </w:t>
      </w:r>
      <w:r w:rsidR="005D19BC">
        <w:rPr>
          <w:rFonts w:ascii="Arial" w:hAnsi="Arial" w:cs="Arial"/>
          <w:sz w:val="20"/>
          <w:szCs w:val="20"/>
        </w:rPr>
        <w:t xml:space="preserve">victim </w:t>
      </w:r>
      <w:r w:rsidR="0091145E">
        <w:rPr>
          <w:rFonts w:ascii="Arial" w:hAnsi="Arial" w:cs="Arial"/>
          <w:sz w:val="20"/>
          <w:szCs w:val="20"/>
        </w:rPr>
        <w:t xml:space="preserve">TN </w:t>
      </w:r>
      <w:r w:rsidR="005D19BC">
        <w:rPr>
          <w:rFonts w:ascii="Arial" w:hAnsi="Arial" w:cs="Arial"/>
          <w:sz w:val="20"/>
          <w:szCs w:val="20"/>
        </w:rPr>
        <w:t>cell</w:t>
      </w:r>
      <w:r w:rsidR="0091145E">
        <w:rPr>
          <w:rFonts w:ascii="Arial" w:hAnsi="Arial" w:cs="Arial"/>
          <w:sz w:val="20"/>
          <w:szCs w:val="20"/>
        </w:rPr>
        <w:t xml:space="preserve"> could be under</w:t>
      </w:r>
      <w:r w:rsidR="005D19BC">
        <w:rPr>
          <w:rFonts w:ascii="Arial" w:hAnsi="Arial" w:cs="Arial"/>
          <w:sz w:val="20"/>
          <w:szCs w:val="20"/>
        </w:rPr>
        <w:t xml:space="preserve"> 5%</w:t>
      </w:r>
      <w:r w:rsidR="00494870">
        <w:rPr>
          <w:rFonts w:ascii="Arial" w:hAnsi="Arial" w:cs="Arial"/>
          <w:sz w:val="20"/>
          <w:szCs w:val="20"/>
        </w:rPr>
        <w:t>. But i</w:t>
      </w:r>
      <w:r w:rsidR="00837416">
        <w:rPr>
          <w:rFonts w:ascii="Arial" w:hAnsi="Arial" w:cs="Arial"/>
          <w:sz w:val="20"/>
          <w:szCs w:val="20"/>
        </w:rPr>
        <w:t>t seems not</w:t>
      </w:r>
      <w:r w:rsidR="00B55EA9">
        <w:rPr>
          <w:rFonts w:ascii="Arial" w:hAnsi="Arial" w:cs="Arial"/>
          <w:sz w:val="20"/>
          <w:szCs w:val="20"/>
        </w:rPr>
        <w:t xml:space="preserve"> feasible to have such large </w:t>
      </w:r>
      <w:r w:rsidR="002A2BC7">
        <w:rPr>
          <w:rFonts w:ascii="Arial" w:hAnsi="Arial" w:cs="Arial"/>
          <w:sz w:val="20"/>
          <w:szCs w:val="20"/>
        </w:rPr>
        <w:t xml:space="preserve">isolation distance </w:t>
      </w:r>
      <w:r w:rsidR="00CC4DC0">
        <w:rPr>
          <w:rFonts w:ascii="Arial" w:hAnsi="Arial" w:cs="Arial"/>
          <w:sz w:val="20"/>
          <w:szCs w:val="20"/>
        </w:rPr>
        <w:t>regarding the widely deployed TN network</w:t>
      </w:r>
      <w:r w:rsidR="001A52D4">
        <w:rPr>
          <w:rFonts w:ascii="Arial" w:hAnsi="Arial" w:cs="Arial"/>
          <w:sz w:val="20"/>
          <w:szCs w:val="20"/>
        </w:rPr>
        <w:t>.</w:t>
      </w:r>
      <w:r w:rsidR="006652C0" w:rsidRPr="006652C0">
        <w:rPr>
          <w:rFonts w:ascii="Arial" w:hAnsi="Arial" w:cs="Arial"/>
          <w:sz w:val="20"/>
          <w:szCs w:val="20"/>
        </w:rPr>
        <w:t xml:space="preserve"> </w:t>
      </w:r>
    </w:p>
    <w:p w14:paraId="6F1400F3" w14:textId="4C53D9F9" w:rsidR="00C32872" w:rsidRDefault="00A1618A" w:rsidP="006A271A">
      <w:pPr>
        <w:pStyle w:val="ListParagraph"/>
        <w:numPr>
          <w:ilvl w:val="0"/>
          <w:numId w:val="48"/>
        </w:numPr>
        <w:rPr>
          <w:rFonts w:ascii="Arial" w:hAnsi="Arial" w:cs="Arial"/>
          <w:sz w:val="20"/>
          <w:szCs w:val="20"/>
        </w:rPr>
      </w:pPr>
      <w:r>
        <w:rPr>
          <w:rFonts w:ascii="Arial" w:hAnsi="Arial" w:cs="Arial"/>
          <w:sz w:val="20"/>
          <w:szCs w:val="20"/>
        </w:rPr>
        <w:t xml:space="preserve">HARQ ACK and process number. </w:t>
      </w:r>
      <w:r w:rsidR="00B6196F">
        <w:rPr>
          <w:rFonts w:ascii="Arial" w:hAnsi="Arial" w:cs="Arial"/>
          <w:sz w:val="20"/>
          <w:szCs w:val="20"/>
        </w:rPr>
        <w:t>The RRC parameters DL-</w:t>
      </w:r>
      <w:proofErr w:type="spellStart"/>
      <w:r w:rsidR="00B6196F">
        <w:rPr>
          <w:rFonts w:ascii="Arial" w:hAnsi="Arial" w:cs="Arial"/>
          <w:sz w:val="20"/>
          <w:szCs w:val="20"/>
        </w:rPr>
        <w:t>DataToUL</w:t>
      </w:r>
      <w:proofErr w:type="spellEnd"/>
      <w:r w:rsidR="00B6196F">
        <w:rPr>
          <w:rFonts w:ascii="Arial" w:hAnsi="Arial" w:cs="Arial"/>
          <w:sz w:val="20"/>
          <w:szCs w:val="20"/>
        </w:rPr>
        <w:t xml:space="preserve">-ACK and </w:t>
      </w:r>
      <w:proofErr w:type="spellStart"/>
      <w:r w:rsidR="00B6196F">
        <w:rPr>
          <w:rFonts w:ascii="Arial" w:hAnsi="Arial" w:cs="Arial"/>
          <w:sz w:val="20"/>
          <w:szCs w:val="20"/>
        </w:rPr>
        <w:t>nrofHARQ</w:t>
      </w:r>
      <w:proofErr w:type="spellEnd"/>
      <w:r w:rsidR="00B6196F">
        <w:rPr>
          <w:rFonts w:ascii="Arial" w:hAnsi="Arial" w:cs="Arial"/>
          <w:sz w:val="20"/>
          <w:szCs w:val="20"/>
        </w:rPr>
        <w:t>-Process are extended in Rel-17 to support higher values which could solve the very long DL slot issue caused by new TDD pattern</w:t>
      </w:r>
      <w:r w:rsidR="007E593F">
        <w:rPr>
          <w:rFonts w:ascii="Arial" w:hAnsi="Arial" w:cs="Arial"/>
          <w:sz w:val="20"/>
          <w:szCs w:val="20"/>
        </w:rPr>
        <w:t xml:space="preserve"> (</w:t>
      </w:r>
      <w:r w:rsidR="004975DE">
        <w:rPr>
          <w:rFonts w:ascii="Arial" w:hAnsi="Arial" w:cs="Arial"/>
          <w:sz w:val="20"/>
          <w:szCs w:val="20"/>
        </w:rPr>
        <w:t xml:space="preserve">see </w:t>
      </w:r>
      <w:r w:rsidR="007E593F">
        <w:rPr>
          <w:rFonts w:ascii="Arial" w:hAnsi="Arial" w:cs="Arial"/>
          <w:sz w:val="20"/>
          <w:szCs w:val="20"/>
        </w:rPr>
        <w:t>DL-DataToUL-ACK-</w:t>
      </w:r>
      <w:r w:rsidR="00EB271B">
        <w:rPr>
          <w:rFonts w:ascii="Arial" w:hAnsi="Arial" w:cs="Arial"/>
          <w:sz w:val="20"/>
          <w:szCs w:val="20"/>
        </w:rPr>
        <w:t>v</w:t>
      </w:r>
      <w:r w:rsidR="007E593F">
        <w:rPr>
          <w:rFonts w:ascii="Arial" w:hAnsi="Arial" w:cs="Arial"/>
          <w:sz w:val="20"/>
          <w:szCs w:val="20"/>
        </w:rPr>
        <w:t>1</w:t>
      </w:r>
      <w:r w:rsidR="000A3EE9">
        <w:rPr>
          <w:rFonts w:ascii="Arial" w:hAnsi="Arial" w:cs="Arial"/>
          <w:sz w:val="20"/>
          <w:szCs w:val="20"/>
        </w:rPr>
        <w:t>7</w:t>
      </w:r>
      <w:r w:rsidR="00EB271B">
        <w:rPr>
          <w:rFonts w:ascii="Arial" w:hAnsi="Arial" w:cs="Arial"/>
          <w:sz w:val="20"/>
          <w:szCs w:val="20"/>
        </w:rPr>
        <w:t>00</w:t>
      </w:r>
      <w:r w:rsidR="000A3EE9">
        <w:rPr>
          <w:rFonts w:ascii="Arial" w:hAnsi="Arial" w:cs="Arial"/>
          <w:sz w:val="20"/>
          <w:szCs w:val="20"/>
        </w:rPr>
        <w:t xml:space="preserve"> and nrofHARQ-Process-</w:t>
      </w:r>
      <w:r w:rsidR="00C7225C">
        <w:rPr>
          <w:rFonts w:ascii="Arial" w:hAnsi="Arial" w:cs="Arial"/>
          <w:sz w:val="20"/>
          <w:szCs w:val="20"/>
        </w:rPr>
        <w:t>r</w:t>
      </w:r>
      <w:r w:rsidR="000A3EE9">
        <w:rPr>
          <w:rFonts w:ascii="Arial" w:hAnsi="Arial" w:cs="Arial"/>
          <w:sz w:val="20"/>
          <w:szCs w:val="20"/>
        </w:rPr>
        <w:t>17</w:t>
      </w:r>
      <w:r w:rsidR="004975DE">
        <w:rPr>
          <w:rFonts w:ascii="Arial" w:hAnsi="Arial" w:cs="Arial"/>
          <w:sz w:val="20"/>
          <w:szCs w:val="20"/>
        </w:rPr>
        <w:t xml:space="preserve"> in TS38.331 </w:t>
      </w:r>
      <w:r w:rsidR="00A319DE">
        <w:rPr>
          <w:rFonts w:ascii="Arial" w:hAnsi="Arial" w:cs="Arial"/>
          <w:sz w:val="20"/>
          <w:szCs w:val="20"/>
        </w:rPr>
        <w:t>[</w:t>
      </w:r>
      <w:r w:rsidR="00583411">
        <w:rPr>
          <w:rFonts w:ascii="Arial" w:hAnsi="Arial" w:cs="Arial"/>
          <w:sz w:val="20"/>
          <w:szCs w:val="20"/>
        </w:rPr>
        <w:t>7</w:t>
      </w:r>
      <w:r w:rsidR="00A319DE">
        <w:rPr>
          <w:rFonts w:ascii="Arial" w:hAnsi="Arial" w:cs="Arial"/>
          <w:sz w:val="20"/>
          <w:szCs w:val="20"/>
        </w:rPr>
        <w:t>]</w:t>
      </w:r>
      <w:r w:rsidR="000A3EE9">
        <w:rPr>
          <w:rFonts w:ascii="Arial" w:hAnsi="Arial" w:cs="Arial"/>
          <w:sz w:val="20"/>
          <w:szCs w:val="20"/>
        </w:rPr>
        <w:t>)</w:t>
      </w:r>
      <w:r w:rsidR="00B6196F">
        <w:rPr>
          <w:rFonts w:ascii="Arial" w:hAnsi="Arial" w:cs="Arial"/>
          <w:sz w:val="20"/>
          <w:szCs w:val="20"/>
        </w:rPr>
        <w:t xml:space="preserve">. But this also means that ATG UE should have new capability </w:t>
      </w:r>
      <w:r w:rsidR="00FB3A47">
        <w:rPr>
          <w:rFonts w:ascii="Arial" w:hAnsi="Arial" w:cs="Arial"/>
          <w:sz w:val="20"/>
          <w:szCs w:val="20"/>
        </w:rPr>
        <w:t xml:space="preserve">to </w:t>
      </w:r>
      <w:r w:rsidR="00B6196F">
        <w:rPr>
          <w:rFonts w:ascii="Arial" w:hAnsi="Arial" w:cs="Arial"/>
          <w:sz w:val="20"/>
          <w:szCs w:val="20"/>
        </w:rPr>
        <w:t xml:space="preserve">support </w:t>
      </w:r>
      <w:r w:rsidR="000106C6">
        <w:rPr>
          <w:rFonts w:ascii="Arial" w:hAnsi="Arial" w:cs="Arial"/>
          <w:sz w:val="20"/>
          <w:szCs w:val="20"/>
        </w:rPr>
        <w:t xml:space="preserve">these </w:t>
      </w:r>
      <w:r w:rsidR="00B6196F">
        <w:rPr>
          <w:rFonts w:ascii="Arial" w:hAnsi="Arial" w:cs="Arial"/>
          <w:sz w:val="20"/>
          <w:szCs w:val="20"/>
        </w:rPr>
        <w:t>Rel-17 RRC parameters.</w:t>
      </w:r>
      <w:r w:rsidR="00F051D2">
        <w:rPr>
          <w:rFonts w:ascii="Arial" w:hAnsi="Arial" w:cs="Arial"/>
          <w:sz w:val="20"/>
          <w:szCs w:val="20"/>
        </w:rPr>
        <w:t xml:space="preserve"> </w:t>
      </w:r>
      <w:r w:rsidR="00B6196F">
        <w:rPr>
          <w:rFonts w:ascii="Arial" w:hAnsi="Arial" w:cs="Arial"/>
          <w:sz w:val="20"/>
          <w:szCs w:val="20"/>
        </w:rPr>
        <w:t xml:space="preserve">  </w:t>
      </w:r>
    </w:p>
    <w:p w14:paraId="463912D1" w14:textId="1A5AB576" w:rsidR="00A1618A" w:rsidRDefault="00C32872" w:rsidP="006A271A">
      <w:pPr>
        <w:pStyle w:val="ListParagraph"/>
        <w:numPr>
          <w:ilvl w:val="0"/>
          <w:numId w:val="48"/>
        </w:numPr>
        <w:rPr>
          <w:rFonts w:ascii="Arial" w:hAnsi="Arial" w:cs="Arial"/>
          <w:sz w:val="20"/>
          <w:szCs w:val="20"/>
        </w:rPr>
      </w:pPr>
      <w:r>
        <w:rPr>
          <w:rFonts w:ascii="Arial" w:hAnsi="Arial" w:cs="Arial"/>
          <w:sz w:val="20"/>
          <w:szCs w:val="20"/>
        </w:rPr>
        <w:t>The 4 GP slot is to solve the very large propagation distance between BS and UE, i.e.,</w:t>
      </w:r>
      <w:r w:rsidR="00E31009">
        <w:rPr>
          <w:rFonts w:ascii="Arial" w:hAnsi="Arial" w:cs="Arial"/>
          <w:sz w:val="20"/>
          <w:szCs w:val="20"/>
        </w:rPr>
        <w:t>300km</w:t>
      </w:r>
      <w:r>
        <w:rPr>
          <w:rFonts w:ascii="Arial" w:hAnsi="Arial" w:cs="Arial"/>
          <w:sz w:val="20"/>
          <w:szCs w:val="20"/>
        </w:rPr>
        <w:t xml:space="preserve">, but </w:t>
      </w:r>
      <w:r w:rsidR="0051604B">
        <w:rPr>
          <w:rFonts w:ascii="Arial" w:hAnsi="Arial" w:cs="Arial"/>
          <w:sz w:val="20"/>
          <w:szCs w:val="20"/>
        </w:rPr>
        <w:t xml:space="preserve">less GP slot would be configured </w:t>
      </w:r>
      <w:r>
        <w:rPr>
          <w:rFonts w:ascii="Arial" w:hAnsi="Arial" w:cs="Arial"/>
          <w:sz w:val="20"/>
          <w:szCs w:val="20"/>
        </w:rPr>
        <w:t xml:space="preserve">if the </w:t>
      </w:r>
      <w:r w:rsidR="00E31009">
        <w:rPr>
          <w:rFonts w:ascii="Arial" w:hAnsi="Arial" w:cs="Arial"/>
          <w:sz w:val="20"/>
          <w:szCs w:val="20"/>
        </w:rPr>
        <w:t xml:space="preserve">ATG BS </w:t>
      </w:r>
      <w:r>
        <w:rPr>
          <w:rFonts w:ascii="Arial" w:hAnsi="Arial" w:cs="Arial"/>
          <w:sz w:val="20"/>
          <w:szCs w:val="20"/>
        </w:rPr>
        <w:t xml:space="preserve">deployment is </w:t>
      </w:r>
      <w:r w:rsidR="00FB3A47">
        <w:rPr>
          <w:rFonts w:ascii="Arial" w:hAnsi="Arial" w:cs="Arial"/>
          <w:sz w:val="20"/>
          <w:szCs w:val="20"/>
        </w:rPr>
        <w:t>denser than</w:t>
      </w:r>
      <w:r w:rsidR="005C62D0">
        <w:rPr>
          <w:rFonts w:ascii="Arial" w:hAnsi="Arial" w:cs="Arial"/>
          <w:sz w:val="20"/>
          <w:szCs w:val="20"/>
        </w:rPr>
        <w:t xml:space="preserve"> current assumption and</w:t>
      </w:r>
      <w:r w:rsidR="00ED33D5">
        <w:rPr>
          <w:rFonts w:ascii="Arial" w:hAnsi="Arial" w:cs="Arial"/>
          <w:sz w:val="20"/>
          <w:szCs w:val="20"/>
        </w:rPr>
        <w:t xml:space="preserve"> the </w:t>
      </w:r>
      <w:r w:rsidR="005C62D0">
        <w:rPr>
          <w:rFonts w:ascii="Arial" w:hAnsi="Arial" w:cs="Arial"/>
          <w:sz w:val="20"/>
          <w:szCs w:val="20"/>
        </w:rPr>
        <w:t xml:space="preserve">propagation delay </w:t>
      </w:r>
      <w:r w:rsidR="00ED33D5">
        <w:rPr>
          <w:rFonts w:ascii="Arial" w:hAnsi="Arial" w:cs="Arial"/>
          <w:sz w:val="20"/>
          <w:szCs w:val="20"/>
        </w:rPr>
        <w:t>gets smaller</w:t>
      </w:r>
      <w:r w:rsidR="00E31009">
        <w:rPr>
          <w:rFonts w:ascii="Arial" w:hAnsi="Arial" w:cs="Arial"/>
          <w:sz w:val="20"/>
          <w:szCs w:val="20"/>
        </w:rPr>
        <w:t>. It means that different deployment</w:t>
      </w:r>
      <w:r w:rsidR="003A11FF">
        <w:rPr>
          <w:rFonts w:ascii="Arial" w:hAnsi="Arial" w:cs="Arial"/>
          <w:sz w:val="20"/>
          <w:szCs w:val="20"/>
        </w:rPr>
        <w:t>s</w:t>
      </w:r>
      <w:r w:rsidR="00D776CF">
        <w:rPr>
          <w:rFonts w:ascii="Arial" w:hAnsi="Arial" w:cs="Arial"/>
          <w:sz w:val="20"/>
          <w:szCs w:val="20"/>
        </w:rPr>
        <w:t>/operators</w:t>
      </w:r>
      <w:r w:rsidR="003A11FF">
        <w:rPr>
          <w:rFonts w:ascii="Arial" w:hAnsi="Arial" w:cs="Arial"/>
          <w:sz w:val="20"/>
          <w:szCs w:val="20"/>
        </w:rPr>
        <w:t xml:space="preserve"> </w:t>
      </w:r>
      <w:r w:rsidR="00E31009">
        <w:rPr>
          <w:rFonts w:ascii="Arial" w:hAnsi="Arial" w:cs="Arial"/>
          <w:sz w:val="20"/>
          <w:szCs w:val="20"/>
        </w:rPr>
        <w:t xml:space="preserve">would </w:t>
      </w:r>
      <w:r w:rsidR="00D776CF">
        <w:rPr>
          <w:rFonts w:ascii="Arial" w:hAnsi="Arial" w:cs="Arial"/>
          <w:sz w:val="20"/>
          <w:szCs w:val="20"/>
        </w:rPr>
        <w:t>have</w:t>
      </w:r>
      <w:r w:rsidR="00E31009">
        <w:rPr>
          <w:rFonts w:ascii="Arial" w:hAnsi="Arial" w:cs="Arial"/>
          <w:sz w:val="20"/>
          <w:szCs w:val="20"/>
        </w:rPr>
        <w:t xml:space="preserve"> different TDD pattern</w:t>
      </w:r>
      <w:r w:rsidR="00490C02">
        <w:rPr>
          <w:rFonts w:ascii="Arial" w:hAnsi="Arial" w:cs="Arial"/>
          <w:sz w:val="20"/>
          <w:szCs w:val="20"/>
        </w:rPr>
        <w:t xml:space="preserve"> pref</w:t>
      </w:r>
      <w:r w:rsidR="00F25954">
        <w:rPr>
          <w:rFonts w:ascii="Arial" w:hAnsi="Arial" w:cs="Arial"/>
          <w:sz w:val="20"/>
          <w:szCs w:val="20"/>
        </w:rPr>
        <w:t>erences</w:t>
      </w:r>
      <w:r w:rsidR="00E31009">
        <w:rPr>
          <w:rFonts w:ascii="Arial" w:hAnsi="Arial" w:cs="Arial"/>
          <w:sz w:val="20"/>
          <w:szCs w:val="20"/>
        </w:rPr>
        <w:t xml:space="preserve"> </w:t>
      </w:r>
      <w:r w:rsidR="00890361">
        <w:rPr>
          <w:rFonts w:ascii="Arial" w:hAnsi="Arial" w:cs="Arial"/>
          <w:sz w:val="20"/>
          <w:szCs w:val="20"/>
        </w:rPr>
        <w:t>to solve the issue</w:t>
      </w:r>
      <w:r w:rsidR="00E31009">
        <w:rPr>
          <w:rFonts w:ascii="Arial" w:hAnsi="Arial" w:cs="Arial"/>
          <w:sz w:val="20"/>
          <w:szCs w:val="20"/>
        </w:rPr>
        <w:t xml:space="preserve">. </w:t>
      </w:r>
      <w:r w:rsidR="00DD66C0">
        <w:rPr>
          <w:rFonts w:ascii="Arial" w:hAnsi="Arial" w:cs="Arial"/>
          <w:sz w:val="20"/>
          <w:szCs w:val="20"/>
        </w:rPr>
        <w:t xml:space="preserve">In that case, </w:t>
      </w:r>
      <w:r w:rsidR="00ED33D5">
        <w:rPr>
          <w:rFonts w:ascii="Arial" w:hAnsi="Arial" w:cs="Arial"/>
          <w:sz w:val="20"/>
          <w:szCs w:val="20"/>
        </w:rPr>
        <w:t xml:space="preserve">ATG UE </w:t>
      </w:r>
      <w:r w:rsidR="00DD66C0">
        <w:rPr>
          <w:rFonts w:ascii="Arial" w:hAnsi="Arial" w:cs="Arial"/>
          <w:sz w:val="20"/>
          <w:szCs w:val="20"/>
        </w:rPr>
        <w:t>need to support</w:t>
      </w:r>
      <w:r w:rsidR="00F95B62">
        <w:rPr>
          <w:rFonts w:ascii="Arial" w:hAnsi="Arial" w:cs="Arial"/>
          <w:sz w:val="20"/>
          <w:szCs w:val="20"/>
        </w:rPr>
        <w:t xml:space="preserve"> </w:t>
      </w:r>
      <w:r w:rsidR="008D0E9E">
        <w:rPr>
          <w:rFonts w:ascii="Arial" w:hAnsi="Arial" w:cs="Arial"/>
          <w:sz w:val="20"/>
          <w:szCs w:val="20"/>
        </w:rPr>
        <w:t>multiple</w:t>
      </w:r>
      <w:r w:rsidR="00F95B62">
        <w:rPr>
          <w:rFonts w:ascii="Arial" w:hAnsi="Arial" w:cs="Arial"/>
          <w:sz w:val="20"/>
          <w:szCs w:val="20"/>
        </w:rPr>
        <w:t xml:space="preserve"> </w:t>
      </w:r>
      <w:r w:rsidR="00ED33D5">
        <w:rPr>
          <w:rFonts w:ascii="Arial" w:hAnsi="Arial" w:cs="Arial"/>
          <w:sz w:val="20"/>
          <w:szCs w:val="20"/>
        </w:rPr>
        <w:t>TDD pattern</w:t>
      </w:r>
      <w:r w:rsidR="008D0E9E">
        <w:rPr>
          <w:rFonts w:ascii="Arial" w:hAnsi="Arial" w:cs="Arial"/>
          <w:sz w:val="20"/>
          <w:szCs w:val="20"/>
        </w:rPr>
        <w:t>s</w:t>
      </w:r>
      <w:r w:rsidR="00135D38">
        <w:rPr>
          <w:rFonts w:ascii="Arial" w:hAnsi="Arial" w:cs="Arial"/>
          <w:sz w:val="20"/>
          <w:szCs w:val="20"/>
        </w:rPr>
        <w:t xml:space="preserve"> because it might </w:t>
      </w:r>
      <w:r w:rsidR="00912AEA">
        <w:rPr>
          <w:rFonts w:ascii="Arial" w:hAnsi="Arial" w:cs="Arial"/>
          <w:sz w:val="20"/>
          <w:szCs w:val="20"/>
        </w:rPr>
        <w:t>fly</w:t>
      </w:r>
      <w:r w:rsidR="00ED33D5">
        <w:rPr>
          <w:rFonts w:ascii="Arial" w:hAnsi="Arial" w:cs="Arial"/>
          <w:sz w:val="20"/>
          <w:szCs w:val="20"/>
        </w:rPr>
        <w:t xml:space="preserve"> across different operators</w:t>
      </w:r>
      <w:r w:rsidR="00135D38">
        <w:rPr>
          <w:rFonts w:ascii="Arial" w:hAnsi="Arial" w:cs="Arial"/>
          <w:sz w:val="20"/>
          <w:szCs w:val="20"/>
        </w:rPr>
        <w:t>’</w:t>
      </w:r>
      <w:r w:rsidR="00ED33D5">
        <w:rPr>
          <w:rFonts w:ascii="Arial" w:hAnsi="Arial" w:cs="Arial"/>
          <w:sz w:val="20"/>
          <w:szCs w:val="20"/>
        </w:rPr>
        <w:t xml:space="preserve"> network</w:t>
      </w:r>
      <w:r w:rsidR="00135D38">
        <w:rPr>
          <w:rFonts w:ascii="Arial" w:hAnsi="Arial" w:cs="Arial"/>
          <w:sz w:val="20"/>
          <w:szCs w:val="20"/>
        </w:rPr>
        <w:t>s</w:t>
      </w:r>
      <w:r w:rsidR="00ED33D5">
        <w:rPr>
          <w:rFonts w:ascii="Arial" w:hAnsi="Arial" w:cs="Arial"/>
          <w:sz w:val="20"/>
          <w:szCs w:val="20"/>
        </w:rPr>
        <w:t xml:space="preserve">. </w:t>
      </w:r>
      <w:r w:rsidR="00912AEA">
        <w:rPr>
          <w:rFonts w:ascii="Arial" w:hAnsi="Arial" w:cs="Arial"/>
          <w:sz w:val="20"/>
          <w:szCs w:val="20"/>
        </w:rPr>
        <w:t xml:space="preserve">The implementation complexity </w:t>
      </w:r>
      <w:r w:rsidR="005D262C">
        <w:rPr>
          <w:rFonts w:ascii="Arial" w:hAnsi="Arial" w:cs="Arial"/>
          <w:sz w:val="20"/>
          <w:szCs w:val="20"/>
        </w:rPr>
        <w:t xml:space="preserve">could also be very high and hard </w:t>
      </w:r>
      <w:r w:rsidR="00AB5BA5">
        <w:rPr>
          <w:rFonts w:ascii="Arial" w:hAnsi="Arial" w:cs="Arial"/>
          <w:sz w:val="20"/>
          <w:szCs w:val="20"/>
        </w:rPr>
        <w:t xml:space="preserve">for </w:t>
      </w:r>
      <w:r w:rsidR="00E103B1">
        <w:rPr>
          <w:rFonts w:ascii="Arial" w:hAnsi="Arial" w:cs="Arial"/>
          <w:sz w:val="20"/>
          <w:szCs w:val="20"/>
        </w:rPr>
        <w:t>compatib</w:t>
      </w:r>
      <w:r w:rsidR="00B5621E">
        <w:rPr>
          <w:rFonts w:ascii="Arial" w:hAnsi="Arial" w:cs="Arial"/>
          <w:sz w:val="20"/>
          <w:szCs w:val="20"/>
        </w:rPr>
        <w:t>ility</w:t>
      </w:r>
      <w:r w:rsidR="00AB5BA5">
        <w:rPr>
          <w:rFonts w:ascii="Arial" w:hAnsi="Arial" w:cs="Arial"/>
          <w:sz w:val="20"/>
          <w:szCs w:val="20"/>
        </w:rPr>
        <w:t xml:space="preserve">. </w:t>
      </w:r>
      <w:r w:rsidR="00221542">
        <w:rPr>
          <w:rFonts w:ascii="Arial" w:hAnsi="Arial" w:cs="Arial"/>
          <w:sz w:val="20"/>
          <w:szCs w:val="20"/>
        </w:rPr>
        <w:t xml:space="preserve">A generic solution for large </w:t>
      </w:r>
      <w:r w:rsidR="005E4A04">
        <w:rPr>
          <w:rFonts w:ascii="Arial" w:hAnsi="Arial" w:cs="Arial"/>
          <w:sz w:val="20"/>
          <w:szCs w:val="20"/>
        </w:rPr>
        <w:t xml:space="preserve">TDD cell </w:t>
      </w:r>
      <w:r w:rsidR="00221542">
        <w:rPr>
          <w:rFonts w:ascii="Arial" w:hAnsi="Arial" w:cs="Arial"/>
          <w:sz w:val="20"/>
          <w:szCs w:val="20"/>
        </w:rPr>
        <w:t>should b</w:t>
      </w:r>
      <w:r w:rsidR="005E4A04">
        <w:rPr>
          <w:rFonts w:ascii="Arial" w:hAnsi="Arial" w:cs="Arial"/>
          <w:sz w:val="20"/>
          <w:szCs w:val="20"/>
        </w:rPr>
        <w:t>e considered by RAN4.</w:t>
      </w:r>
    </w:p>
    <w:p w14:paraId="3750265F" w14:textId="77777777" w:rsidR="005335C3" w:rsidRPr="006A271A" w:rsidRDefault="005335C3" w:rsidP="005335C3">
      <w:pPr>
        <w:pStyle w:val="ListParagraph"/>
        <w:rPr>
          <w:rFonts w:ascii="Arial" w:hAnsi="Arial" w:cs="Arial"/>
          <w:sz w:val="20"/>
          <w:szCs w:val="20"/>
        </w:rPr>
      </w:pPr>
    </w:p>
    <w:p w14:paraId="0CB5C0C9" w14:textId="749E83E7" w:rsidR="006A271A" w:rsidRDefault="005335C3" w:rsidP="005335C3">
      <w:pPr>
        <w:pStyle w:val="Observation"/>
      </w:pPr>
      <w:bookmarkStart w:id="6" w:name="_Toc134695629"/>
      <w:r>
        <w:t>It seems not possible to avoid co-existing interference caused by new TDD pattern</w:t>
      </w:r>
      <w:r w:rsidR="00F831DA">
        <w:t xml:space="preserve"> in real network</w:t>
      </w:r>
      <w:r>
        <w:t>.</w:t>
      </w:r>
      <w:bookmarkEnd w:id="6"/>
      <w:r>
        <w:t xml:space="preserve">  </w:t>
      </w:r>
    </w:p>
    <w:p w14:paraId="6CF7C52C" w14:textId="443C941E" w:rsidR="005335C3" w:rsidRDefault="00D17CE5" w:rsidP="00BA6234">
      <w:pPr>
        <w:pStyle w:val="Observation"/>
      </w:pPr>
      <w:bookmarkStart w:id="7" w:name="_Toc134695630"/>
      <w:r>
        <w:t>New UE capability of support Rel-17 RRC parameters is needed to support new TDD pattern.</w:t>
      </w:r>
      <w:bookmarkEnd w:id="7"/>
    </w:p>
    <w:p w14:paraId="630A5FB6" w14:textId="68E9BB30" w:rsidR="00C32872" w:rsidRPr="00BF006D" w:rsidRDefault="00FB27CF" w:rsidP="00067163">
      <w:pPr>
        <w:pStyle w:val="Observation"/>
      </w:pPr>
      <w:bookmarkStart w:id="8" w:name="_Toc134695631"/>
      <w:r w:rsidRPr="00BF006D">
        <w:lastRenderedPageBreak/>
        <w:t>If onl</w:t>
      </w:r>
      <w:r w:rsidR="003440A0" w:rsidRPr="00BF006D">
        <w:t>y depend</w:t>
      </w:r>
      <w:r w:rsidRPr="00BF006D">
        <w:t xml:space="preserve">ing </w:t>
      </w:r>
      <w:r w:rsidR="003440A0" w:rsidRPr="00BF006D">
        <w:t xml:space="preserve">on </w:t>
      </w:r>
      <w:r w:rsidRPr="00BF006D">
        <w:t>new TDD pattern to solve guard period issue</w:t>
      </w:r>
      <w:r w:rsidR="003440A0" w:rsidRPr="00BF006D">
        <w:t xml:space="preserve">, an </w:t>
      </w:r>
      <w:r w:rsidR="00067163" w:rsidRPr="00BF006D">
        <w:t xml:space="preserve">ATG UE </w:t>
      </w:r>
      <w:r w:rsidR="007B3940" w:rsidRPr="00BF006D">
        <w:t xml:space="preserve">might </w:t>
      </w:r>
      <w:r w:rsidR="00067163" w:rsidRPr="00BF006D">
        <w:t xml:space="preserve">need to </w:t>
      </w:r>
      <w:r w:rsidR="008D16D6" w:rsidRPr="00BF006D">
        <w:t>support</w:t>
      </w:r>
      <w:r w:rsidR="00067163" w:rsidRPr="00BF006D">
        <w:t xml:space="preserve"> different TDD patterns </w:t>
      </w:r>
      <w:r w:rsidR="0071797F" w:rsidRPr="00BF006D">
        <w:t xml:space="preserve">used by different ATG networks </w:t>
      </w:r>
      <w:r w:rsidR="00090245" w:rsidRPr="00BF006D">
        <w:t xml:space="preserve">which </w:t>
      </w:r>
      <w:r w:rsidR="0071797F" w:rsidRPr="00BF006D">
        <w:t>will increase the complexity of implementation</w:t>
      </w:r>
      <w:r w:rsidR="00323D32" w:rsidRPr="00BF006D">
        <w:t>.</w:t>
      </w:r>
      <w:bookmarkEnd w:id="8"/>
      <w:r w:rsidR="00067163" w:rsidRPr="00BF006D">
        <w:t xml:space="preserve"> </w:t>
      </w:r>
    </w:p>
    <w:p w14:paraId="16FBBCDC" w14:textId="49C2E8C5" w:rsidR="005335C3" w:rsidRPr="009F1862" w:rsidRDefault="00F051D2" w:rsidP="00697838">
      <w:pPr>
        <w:rPr>
          <w:rFonts w:ascii="Arial" w:hAnsi="Arial" w:cs="Arial"/>
          <w:sz w:val="20"/>
          <w:szCs w:val="20"/>
        </w:rPr>
      </w:pPr>
      <w:r w:rsidRPr="009F1862">
        <w:rPr>
          <w:rFonts w:ascii="Arial" w:hAnsi="Arial" w:cs="Arial"/>
          <w:sz w:val="20"/>
          <w:szCs w:val="20"/>
        </w:rPr>
        <w:t xml:space="preserve">In RRM session, </w:t>
      </w:r>
      <w:r w:rsidR="000E2011" w:rsidRPr="009F1862">
        <w:rPr>
          <w:rFonts w:ascii="Arial" w:hAnsi="Arial" w:cs="Arial"/>
          <w:sz w:val="20"/>
          <w:szCs w:val="20"/>
        </w:rPr>
        <w:t xml:space="preserve">a new method to </w:t>
      </w:r>
      <w:r w:rsidR="00031740">
        <w:rPr>
          <w:rFonts w:ascii="Arial" w:hAnsi="Arial" w:cs="Arial"/>
          <w:sz w:val="20"/>
          <w:szCs w:val="20"/>
        </w:rPr>
        <w:t>mitigate</w:t>
      </w:r>
      <w:r w:rsidR="000E2011" w:rsidRPr="009F1862">
        <w:rPr>
          <w:rFonts w:ascii="Arial" w:hAnsi="Arial" w:cs="Arial"/>
          <w:sz w:val="20"/>
          <w:szCs w:val="20"/>
        </w:rPr>
        <w:t xml:space="preserve"> this i</w:t>
      </w:r>
      <w:r w:rsidR="00761268">
        <w:rPr>
          <w:rFonts w:ascii="Arial" w:hAnsi="Arial" w:cs="Arial"/>
          <w:sz w:val="20"/>
          <w:szCs w:val="20"/>
        </w:rPr>
        <w:t>mpact</w:t>
      </w:r>
      <w:r w:rsidR="000E2011" w:rsidRPr="009F1862">
        <w:rPr>
          <w:rFonts w:ascii="Arial" w:hAnsi="Arial" w:cs="Arial"/>
          <w:sz w:val="20"/>
          <w:szCs w:val="20"/>
        </w:rPr>
        <w:t xml:space="preserve"> was proposed by Ericsson [3] is under discussion. The thinking is to dynamically configure GP period and UL slot at ATG UE side according to the information of propagation distance. </w:t>
      </w:r>
      <w:r w:rsidR="0051604B" w:rsidRPr="009F1862">
        <w:rPr>
          <w:rFonts w:ascii="Arial" w:hAnsi="Arial" w:cs="Arial"/>
          <w:sz w:val="20"/>
          <w:szCs w:val="20"/>
        </w:rPr>
        <w:t>The method could let ATG BS use s</w:t>
      </w:r>
      <w:r w:rsidR="005E5EFF">
        <w:rPr>
          <w:rFonts w:ascii="Arial" w:hAnsi="Arial" w:cs="Arial"/>
          <w:sz w:val="20"/>
          <w:szCs w:val="20"/>
        </w:rPr>
        <w:t>ame</w:t>
      </w:r>
      <w:r w:rsidR="0051604B" w:rsidRPr="009F1862">
        <w:rPr>
          <w:rFonts w:ascii="Arial" w:hAnsi="Arial" w:cs="Arial"/>
          <w:sz w:val="20"/>
          <w:szCs w:val="20"/>
        </w:rPr>
        <w:t xml:space="preserve"> TDD pattern as TN </w:t>
      </w:r>
      <w:r w:rsidR="006B1C5C">
        <w:rPr>
          <w:rFonts w:ascii="Arial" w:hAnsi="Arial" w:cs="Arial"/>
          <w:sz w:val="20"/>
          <w:szCs w:val="20"/>
        </w:rPr>
        <w:t>BS to avoid</w:t>
      </w:r>
      <w:r w:rsidR="0051604B" w:rsidRPr="009F1862">
        <w:rPr>
          <w:rFonts w:ascii="Arial" w:hAnsi="Arial" w:cs="Arial"/>
          <w:sz w:val="20"/>
          <w:szCs w:val="20"/>
        </w:rPr>
        <w:t xml:space="preserve"> co-existence </w:t>
      </w:r>
      <w:r w:rsidR="00A76002" w:rsidRPr="009F1862">
        <w:rPr>
          <w:rFonts w:ascii="Arial" w:hAnsi="Arial" w:cs="Arial"/>
          <w:sz w:val="20"/>
          <w:szCs w:val="20"/>
        </w:rPr>
        <w:t xml:space="preserve">interference and </w:t>
      </w:r>
      <w:r w:rsidR="006B1C5C">
        <w:rPr>
          <w:rFonts w:ascii="Arial" w:hAnsi="Arial" w:cs="Arial"/>
          <w:sz w:val="20"/>
          <w:szCs w:val="20"/>
        </w:rPr>
        <w:t xml:space="preserve">reduce the </w:t>
      </w:r>
      <w:r w:rsidR="00A76002" w:rsidRPr="009F1862">
        <w:rPr>
          <w:rFonts w:ascii="Arial" w:hAnsi="Arial" w:cs="Arial"/>
          <w:sz w:val="20"/>
          <w:szCs w:val="20"/>
        </w:rPr>
        <w:t>capacity loss</w:t>
      </w:r>
      <w:r w:rsidR="005E5EFF">
        <w:rPr>
          <w:rFonts w:ascii="Arial" w:hAnsi="Arial" w:cs="Arial"/>
          <w:sz w:val="20"/>
          <w:szCs w:val="20"/>
        </w:rPr>
        <w:t xml:space="preserve"> caused by multiple GP slots</w:t>
      </w:r>
      <w:r w:rsidR="00A76002" w:rsidRPr="009F1862">
        <w:rPr>
          <w:rFonts w:ascii="Arial" w:hAnsi="Arial" w:cs="Arial"/>
          <w:sz w:val="20"/>
          <w:szCs w:val="20"/>
        </w:rPr>
        <w:t>.</w:t>
      </w:r>
      <w:r w:rsidR="00277BC2" w:rsidRPr="009F1862">
        <w:rPr>
          <w:rFonts w:ascii="Arial" w:hAnsi="Arial" w:cs="Arial"/>
          <w:sz w:val="20"/>
          <w:szCs w:val="20"/>
        </w:rPr>
        <w:t xml:space="preserve"> ATG UE could also be adapted to different network configurations. </w:t>
      </w:r>
      <w:r w:rsidR="00F23E34" w:rsidRPr="009F1862">
        <w:rPr>
          <w:rFonts w:ascii="Arial" w:hAnsi="Arial" w:cs="Arial"/>
          <w:sz w:val="20"/>
          <w:szCs w:val="20"/>
        </w:rPr>
        <w:t xml:space="preserve">Of course, it might impact on the specification </w:t>
      </w:r>
      <w:r w:rsidR="00220CBD" w:rsidRPr="009F1862">
        <w:rPr>
          <w:rFonts w:ascii="Arial" w:hAnsi="Arial" w:cs="Arial"/>
          <w:sz w:val="20"/>
          <w:szCs w:val="20"/>
        </w:rPr>
        <w:t xml:space="preserve">at </w:t>
      </w:r>
      <w:r w:rsidR="009D3BDA" w:rsidRPr="009F1862">
        <w:rPr>
          <w:rFonts w:ascii="Arial" w:hAnsi="Arial" w:cs="Arial"/>
          <w:sz w:val="20"/>
          <w:szCs w:val="20"/>
        </w:rPr>
        <w:t>a certain</w:t>
      </w:r>
      <w:r w:rsidR="00220CBD" w:rsidRPr="009F1862">
        <w:rPr>
          <w:rFonts w:ascii="Arial" w:hAnsi="Arial" w:cs="Arial"/>
          <w:sz w:val="20"/>
          <w:szCs w:val="20"/>
        </w:rPr>
        <w:t xml:space="preserve"> </w:t>
      </w:r>
      <w:proofErr w:type="gramStart"/>
      <w:r w:rsidR="00220CBD" w:rsidRPr="009F1862">
        <w:rPr>
          <w:rFonts w:ascii="Arial" w:hAnsi="Arial" w:cs="Arial"/>
          <w:sz w:val="20"/>
          <w:szCs w:val="20"/>
        </w:rPr>
        <w:t>level</w:t>
      </w:r>
      <w:proofErr w:type="gramEnd"/>
      <w:r w:rsidR="00220CBD" w:rsidRPr="009F1862">
        <w:rPr>
          <w:rFonts w:ascii="Arial" w:hAnsi="Arial" w:cs="Arial"/>
          <w:sz w:val="20"/>
          <w:szCs w:val="20"/>
        </w:rPr>
        <w:t xml:space="preserve"> </w:t>
      </w:r>
      <w:r w:rsidR="00F23E34" w:rsidRPr="009F1862">
        <w:rPr>
          <w:rFonts w:ascii="Arial" w:hAnsi="Arial" w:cs="Arial"/>
          <w:sz w:val="20"/>
          <w:szCs w:val="20"/>
        </w:rPr>
        <w:t xml:space="preserve">but it </w:t>
      </w:r>
      <w:r w:rsidR="00220CBD" w:rsidRPr="009F1862">
        <w:rPr>
          <w:rFonts w:ascii="Arial" w:hAnsi="Arial" w:cs="Arial"/>
          <w:sz w:val="20"/>
          <w:szCs w:val="20"/>
        </w:rPr>
        <w:t xml:space="preserve">could avoid the </w:t>
      </w:r>
      <w:r w:rsidR="00CD30D0" w:rsidRPr="009F1862">
        <w:rPr>
          <w:rFonts w:ascii="Arial" w:hAnsi="Arial" w:cs="Arial"/>
          <w:sz w:val="20"/>
          <w:szCs w:val="20"/>
        </w:rPr>
        <w:t xml:space="preserve">implementation complexity in the long run. </w:t>
      </w:r>
      <w:r w:rsidR="00220CBD" w:rsidRPr="009F1862">
        <w:rPr>
          <w:rFonts w:ascii="Arial" w:hAnsi="Arial" w:cs="Arial"/>
          <w:sz w:val="20"/>
          <w:szCs w:val="20"/>
        </w:rPr>
        <w:t xml:space="preserve"> </w:t>
      </w:r>
    </w:p>
    <w:p w14:paraId="3B819980" w14:textId="4550B70B" w:rsidR="00697838" w:rsidRPr="00F051D2" w:rsidRDefault="00697838" w:rsidP="00F023A4">
      <w:pPr>
        <w:pStyle w:val="Proposal"/>
        <w:rPr>
          <w:rFonts w:eastAsiaTheme="minorEastAsia"/>
        </w:rPr>
      </w:pPr>
      <w:r w:rsidRPr="009F1862">
        <w:t xml:space="preserve"> </w:t>
      </w:r>
      <w:bookmarkStart w:id="9" w:name="_Toc135061431"/>
      <w:r w:rsidR="00F023A4" w:rsidRPr="009F1862">
        <w:t xml:space="preserve">Proposal 2: </w:t>
      </w:r>
      <w:r w:rsidR="00232E72" w:rsidRPr="009F1862">
        <w:t xml:space="preserve">RAN4 to discuss a generic method to </w:t>
      </w:r>
      <w:r w:rsidR="006B1C5C">
        <w:t>mitigate</w:t>
      </w:r>
      <w:r w:rsidR="00232E72" w:rsidRPr="009F1862">
        <w:t xml:space="preserve"> the guard period i</w:t>
      </w:r>
      <w:r w:rsidR="00761268">
        <w:t>mpact</w:t>
      </w:r>
      <w:r w:rsidR="00232E72" w:rsidRPr="009F1862">
        <w:t xml:space="preserve"> to let ATG UE can support different deployment networks.</w:t>
      </w:r>
      <w:bookmarkEnd w:id="9"/>
    </w:p>
    <w:p w14:paraId="41631984" w14:textId="77777777" w:rsidR="00697838" w:rsidRPr="00697838" w:rsidRDefault="00697838" w:rsidP="007D51D0">
      <w:pPr>
        <w:rPr>
          <w:lang w:eastAsia="en-US"/>
        </w:rPr>
      </w:pPr>
    </w:p>
    <w:p w14:paraId="58B5FF45" w14:textId="5E4C7357" w:rsidR="007D51D0" w:rsidRDefault="007D51D0" w:rsidP="007D51D0">
      <w:pPr>
        <w:pStyle w:val="Heading2"/>
        <w:rPr>
          <w:lang w:val="en-GB" w:eastAsia="en-US"/>
        </w:rPr>
      </w:pPr>
      <w:r>
        <w:rPr>
          <w:lang w:val="en-GB" w:eastAsia="en-US"/>
        </w:rPr>
        <w:t>2.</w:t>
      </w:r>
      <w:r w:rsidR="005335C3">
        <w:rPr>
          <w:lang w:val="en-GB" w:eastAsia="en-US"/>
        </w:rPr>
        <w:t>3</w:t>
      </w:r>
      <w:r>
        <w:rPr>
          <w:lang w:val="en-GB" w:eastAsia="en-US"/>
        </w:rPr>
        <w:t xml:space="preserve"> link budget of ATG</w:t>
      </w:r>
    </w:p>
    <w:p w14:paraId="2A213058" w14:textId="5A81EBFB" w:rsidR="00C96774" w:rsidRDefault="007834D3" w:rsidP="007D51D0">
      <w:pPr>
        <w:rPr>
          <w:lang w:val="en-GB" w:eastAsia="en-US"/>
        </w:rPr>
      </w:pPr>
      <w:r>
        <w:rPr>
          <w:lang w:val="en-GB" w:eastAsia="en-US"/>
        </w:rPr>
        <w:t xml:space="preserve">Companies didn’t get consensus on if introducing the requirements of 256QAM for ATG scenario. One argument is the link budget might be an issue to support 256QAM. </w:t>
      </w:r>
      <w:r w:rsidR="00256E88">
        <w:rPr>
          <w:lang w:val="en-GB" w:eastAsia="en-US"/>
        </w:rPr>
        <w:t xml:space="preserve">We delivered link budget analysis at the beginning of ATG discussion </w:t>
      </w:r>
      <w:r w:rsidR="00256E88" w:rsidRPr="0070324A">
        <w:rPr>
          <w:lang w:val="en-GB" w:eastAsia="en-US"/>
        </w:rPr>
        <w:t>[2].</w:t>
      </w:r>
      <w:r w:rsidR="00256E88">
        <w:rPr>
          <w:lang w:val="en-GB" w:eastAsia="en-US"/>
        </w:rPr>
        <w:t xml:space="preserve"> </w:t>
      </w:r>
      <w:r w:rsidR="00C96774">
        <w:rPr>
          <w:lang w:val="en-GB" w:eastAsia="en-US"/>
        </w:rPr>
        <w:t xml:space="preserve">In this chapter, </w:t>
      </w:r>
      <w:r w:rsidR="00256E88">
        <w:rPr>
          <w:lang w:val="en-GB" w:eastAsia="en-US"/>
        </w:rPr>
        <w:t xml:space="preserve">a simplified </w:t>
      </w:r>
      <w:r w:rsidR="00C96774">
        <w:rPr>
          <w:lang w:val="en-GB" w:eastAsia="en-US"/>
        </w:rPr>
        <w:t>link budget</w:t>
      </w:r>
      <w:r w:rsidR="00256E88">
        <w:rPr>
          <w:lang w:val="en-GB" w:eastAsia="en-US"/>
        </w:rPr>
        <w:t xml:space="preserve"> calculation with agreed ATG BS and UE assumption is delivered.  </w:t>
      </w:r>
      <w:r w:rsidR="00C96774">
        <w:rPr>
          <w:lang w:val="en-GB" w:eastAsia="en-US"/>
        </w:rPr>
        <w:t xml:space="preserve">  </w:t>
      </w:r>
    </w:p>
    <w:p w14:paraId="0B1E1E74" w14:textId="0C396734" w:rsidR="00C172F1" w:rsidRDefault="00256E88" w:rsidP="007D51D0">
      <w:pPr>
        <w:rPr>
          <w:lang w:val="en-GB" w:eastAsia="en-US"/>
        </w:rPr>
      </w:pPr>
      <w:r>
        <w:rPr>
          <w:lang w:val="en-GB" w:eastAsia="en-US"/>
        </w:rPr>
        <w:t>T</w:t>
      </w:r>
      <w:r w:rsidR="00C96774">
        <w:rPr>
          <w:lang w:val="en-GB" w:eastAsia="en-US"/>
        </w:rPr>
        <w:t xml:space="preserve">he distance between ATG UE and BS could be 10km ~ </w:t>
      </w:r>
      <w:r w:rsidR="009801F4">
        <w:rPr>
          <w:lang w:val="en-GB" w:eastAsia="en-US"/>
        </w:rPr>
        <w:t>3</w:t>
      </w:r>
      <w:r w:rsidR="00C96774">
        <w:rPr>
          <w:lang w:val="en-GB" w:eastAsia="en-US"/>
        </w:rPr>
        <w:t xml:space="preserve">00km. The typical propagation channel is </w:t>
      </w:r>
      <w:r>
        <w:rPr>
          <w:lang w:val="en-GB" w:eastAsia="en-US"/>
        </w:rPr>
        <w:t>single tap channel</w:t>
      </w:r>
      <w:r w:rsidR="00C96774">
        <w:rPr>
          <w:lang w:val="en-GB" w:eastAsia="en-US"/>
        </w:rPr>
        <w:t>, so free space propagation loss could be used.</w:t>
      </w:r>
      <w:r w:rsidR="00FF2375">
        <w:rPr>
          <w:lang w:val="en-GB" w:eastAsia="en-US"/>
        </w:rPr>
        <w:t xml:space="preserve"> </w:t>
      </w:r>
      <w:r>
        <w:rPr>
          <w:lang w:val="en-GB" w:eastAsia="en-US"/>
        </w:rPr>
        <w:t>Other p</w:t>
      </w:r>
      <w:r w:rsidR="00FF2375">
        <w:rPr>
          <w:lang w:val="en-GB" w:eastAsia="en-US"/>
        </w:rPr>
        <w:t>arameters for ATG BS and ATG UE</w:t>
      </w:r>
      <w:r>
        <w:rPr>
          <w:lang w:val="en-GB" w:eastAsia="en-US"/>
        </w:rPr>
        <w:t xml:space="preserve"> are captured in table 2-1 which </w:t>
      </w:r>
      <w:r w:rsidR="00FF2375">
        <w:rPr>
          <w:lang w:val="en-GB" w:eastAsia="en-US"/>
        </w:rPr>
        <w:t>refer</w:t>
      </w:r>
      <w:r w:rsidR="00E32CCF">
        <w:rPr>
          <w:lang w:val="en-GB" w:eastAsia="en-US"/>
        </w:rPr>
        <w:t>s</w:t>
      </w:r>
      <w:r w:rsidR="00FF2375">
        <w:rPr>
          <w:lang w:val="en-GB" w:eastAsia="en-US"/>
        </w:rPr>
        <w:t xml:space="preserve"> to </w:t>
      </w:r>
      <w:r w:rsidR="00DC0221">
        <w:rPr>
          <w:lang w:val="en-GB" w:eastAsia="en-US"/>
        </w:rPr>
        <w:t>TS38.876 6.2.</w:t>
      </w:r>
      <w:r w:rsidR="00DC0221" w:rsidRPr="0070324A">
        <w:rPr>
          <w:lang w:val="en-GB" w:eastAsia="en-US"/>
        </w:rPr>
        <w:t>2</w:t>
      </w:r>
      <w:r w:rsidR="00FF2375" w:rsidRPr="0070324A">
        <w:rPr>
          <w:lang w:val="en-GB" w:eastAsia="en-US"/>
        </w:rPr>
        <w:t xml:space="preserve"> [</w:t>
      </w:r>
      <w:r w:rsidR="00AA2959" w:rsidRPr="0070324A">
        <w:rPr>
          <w:lang w:val="en-GB" w:eastAsia="en-US"/>
        </w:rPr>
        <w:t>4</w:t>
      </w:r>
      <w:r w:rsidR="00FF2375" w:rsidRPr="0070324A">
        <w:rPr>
          <w:lang w:val="en-GB" w:eastAsia="en-US"/>
        </w:rPr>
        <w:t>].</w:t>
      </w:r>
      <w:r w:rsidR="00FF2375">
        <w:rPr>
          <w:lang w:val="en-GB" w:eastAsia="en-US"/>
        </w:rPr>
        <w:t xml:space="preserve"> </w:t>
      </w:r>
      <w:r w:rsidR="00522716">
        <w:rPr>
          <w:lang w:val="en-GB" w:eastAsia="en-US"/>
        </w:rPr>
        <w:t xml:space="preserve">Subarray </w:t>
      </w:r>
      <w:r w:rsidR="00B74B79">
        <w:rPr>
          <w:lang w:val="en-GB" w:eastAsia="en-US"/>
        </w:rPr>
        <w:t xml:space="preserve">antenna model is used </w:t>
      </w:r>
      <w:r w:rsidR="006A3572">
        <w:rPr>
          <w:lang w:val="en-GB" w:eastAsia="en-US"/>
        </w:rPr>
        <w:t xml:space="preserve">for both FDD and TDD ATG BS </w:t>
      </w:r>
      <w:r w:rsidR="00B74B79">
        <w:rPr>
          <w:lang w:val="en-GB" w:eastAsia="en-US"/>
        </w:rPr>
        <w:t xml:space="preserve">in </w:t>
      </w:r>
      <w:r w:rsidR="00F602E2">
        <w:rPr>
          <w:lang w:val="en-GB" w:eastAsia="en-US"/>
        </w:rPr>
        <w:t xml:space="preserve">following </w:t>
      </w:r>
      <w:r w:rsidR="008526C4">
        <w:rPr>
          <w:lang w:val="en-GB" w:eastAsia="en-US"/>
        </w:rPr>
        <w:t xml:space="preserve">calculation. </w:t>
      </w:r>
    </w:p>
    <w:p w14:paraId="3997A032" w14:textId="04B423EF" w:rsidR="00C172F1" w:rsidRDefault="00FC732A" w:rsidP="00860E1A">
      <w:pPr>
        <w:pStyle w:val="TH"/>
      </w:pPr>
      <w:r>
        <w:t>Table 2-1 System and antenna parameters for ATG BS and UE</w:t>
      </w:r>
    </w:p>
    <w:tbl>
      <w:tblPr>
        <w:tblStyle w:val="TableGrid"/>
        <w:tblW w:w="0" w:type="auto"/>
        <w:jc w:val="center"/>
        <w:tblLook w:val="04A0" w:firstRow="1" w:lastRow="0" w:firstColumn="1" w:lastColumn="0" w:noHBand="0" w:noVBand="1"/>
      </w:tblPr>
      <w:tblGrid>
        <w:gridCol w:w="1643"/>
        <w:gridCol w:w="2117"/>
        <w:gridCol w:w="784"/>
        <w:gridCol w:w="948"/>
      </w:tblGrid>
      <w:tr w:rsidR="003773DA" w14:paraId="4E4C5226" w14:textId="77777777" w:rsidTr="006A3572">
        <w:trPr>
          <w:jc w:val="center"/>
        </w:trPr>
        <w:tc>
          <w:tcPr>
            <w:tcW w:w="3760" w:type="dxa"/>
            <w:gridSpan w:val="2"/>
          </w:tcPr>
          <w:p w14:paraId="35C1A6EC" w14:textId="73AC67E3" w:rsidR="003773DA" w:rsidRDefault="003773DA" w:rsidP="006130E6">
            <w:pPr>
              <w:pStyle w:val="TAC"/>
            </w:pPr>
            <w:r>
              <w:t xml:space="preserve">Centre frequency [GHz]  </w:t>
            </w:r>
          </w:p>
        </w:tc>
        <w:tc>
          <w:tcPr>
            <w:tcW w:w="784" w:type="dxa"/>
          </w:tcPr>
          <w:p w14:paraId="65F8538C" w14:textId="14E1CEA7" w:rsidR="003773DA" w:rsidRDefault="003773DA" w:rsidP="00860E1A">
            <w:pPr>
              <w:pStyle w:val="TAC"/>
            </w:pPr>
            <w:r>
              <w:t>2</w:t>
            </w:r>
          </w:p>
        </w:tc>
        <w:tc>
          <w:tcPr>
            <w:tcW w:w="944" w:type="dxa"/>
          </w:tcPr>
          <w:p w14:paraId="02A9FC9A" w14:textId="4FC730CD" w:rsidR="003773DA" w:rsidRDefault="003773DA" w:rsidP="00860E1A">
            <w:pPr>
              <w:pStyle w:val="TAC"/>
            </w:pPr>
            <w:r>
              <w:t>4</w:t>
            </w:r>
          </w:p>
        </w:tc>
      </w:tr>
      <w:tr w:rsidR="003773DA" w14:paraId="53778D08" w14:textId="77777777" w:rsidTr="006A3572">
        <w:trPr>
          <w:jc w:val="center"/>
        </w:trPr>
        <w:tc>
          <w:tcPr>
            <w:tcW w:w="3760" w:type="dxa"/>
            <w:gridSpan w:val="2"/>
          </w:tcPr>
          <w:p w14:paraId="462A94CA" w14:textId="590F80BE" w:rsidR="003773DA" w:rsidRDefault="003773DA" w:rsidP="006130E6">
            <w:pPr>
              <w:pStyle w:val="TAC"/>
            </w:pPr>
            <w:r>
              <w:t>CBW [MHz]</w:t>
            </w:r>
          </w:p>
        </w:tc>
        <w:tc>
          <w:tcPr>
            <w:tcW w:w="784" w:type="dxa"/>
          </w:tcPr>
          <w:p w14:paraId="303FD789" w14:textId="6362DCE7" w:rsidR="003773DA" w:rsidRDefault="006E0C88" w:rsidP="00860E1A">
            <w:pPr>
              <w:pStyle w:val="TAC"/>
            </w:pPr>
            <w:r>
              <w:t>2</w:t>
            </w:r>
            <w:r w:rsidR="003773DA">
              <w:t>0</w:t>
            </w:r>
          </w:p>
        </w:tc>
        <w:tc>
          <w:tcPr>
            <w:tcW w:w="944" w:type="dxa"/>
          </w:tcPr>
          <w:p w14:paraId="1C3C6190" w14:textId="170ED82A" w:rsidR="003773DA" w:rsidRDefault="003773DA" w:rsidP="00860E1A">
            <w:pPr>
              <w:pStyle w:val="TAC"/>
            </w:pPr>
            <w:r>
              <w:t>100</w:t>
            </w:r>
          </w:p>
        </w:tc>
      </w:tr>
      <w:tr w:rsidR="003773DA" w14:paraId="22B18835" w14:textId="77777777" w:rsidTr="006A3572">
        <w:trPr>
          <w:jc w:val="center"/>
        </w:trPr>
        <w:tc>
          <w:tcPr>
            <w:tcW w:w="3760" w:type="dxa"/>
            <w:gridSpan w:val="2"/>
            <w:vAlign w:val="center"/>
          </w:tcPr>
          <w:p w14:paraId="1EBCEFA9" w14:textId="2368616C" w:rsidR="003773DA" w:rsidRDefault="003773DA" w:rsidP="006130E6">
            <w:pPr>
              <w:pStyle w:val="TAC"/>
              <w:rPr>
                <w:rFonts w:cs="Calibri"/>
                <w:color w:val="000000"/>
              </w:rPr>
            </w:pPr>
            <w:r>
              <w:rPr>
                <w:rFonts w:cs="Calibri"/>
                <w:color w:val="000000"/>
              </w:rPr>
              <w:t xml:space="preserve">PRB number </w:t>
            </w:r>
          </w:p>
        </w:tc>
        <w:tc>
          <w:tcPr>
            <w:tcW w:w="784" w:type="dxa"/>
            <w:vAlign w:val="center"/>
          </w:tcPr>
          <w:p w14:paraId="02AC7174" w14:textId="2F7E3BDD" w:rsidR="003773DA" w:rsidRDefault="006E0C88" w:rsidP="00860E1A">
            <w:pPr>
              <w:pStyle w:val="TAC"/>
            </w:pPr>
            <w:r>
              <w:t>106</w:t>
            </w:r>
          </w:p>
        </w:tc>
        <w:tc>
          <w:tcPr>
            <w:tcW w:w="944" w:type="dxa"/>
            <w:vAlign w:val="center"/>
          </w:tcPr>
          <w:p w14:paraId="2C8919DA" w14:textId="03805E32" w:rsidR="003773DA" w:rsidRDefault="003773DA" w:rsidP="00860E1A">
            <w:pPr>
              <w:pStyle w:val="TAC"/>
            </w:pPr>
            <w:bookmarkStart w:id="10" w:name="RANGE!H5"/>
            <w:r>
              <w:rPr>
                <w:rFonts w:cs="Calibri"/>
                <w:color w:val="000000"/>
              </w:rPr>
              <w:t>273</w:t>
            </w:r>
            <w:bookmarkEnd w:id="10"/>
          </w:p>
        </w:tc>
      </w:tr>
      <w:tr w:rsidR="002235D4" w14:paraId="50E8A379" w14:textId="1510BDDF" w:rsidTr="006A3572">
        <w:trPr>
          <w:jc w:val="center"/>
        </w:trPr>
        <w:tc>
          <w:tcPr>
            <w:tcW w:w="1643" w:type="dxa"/>
            <w:vMerge w:val="restart"/>
            <w:vAlign w:val="center"/>
          </w:tcPr>
          <w:p w14:paraId="0FC312BA" w14:textId="05C43BBC" w:rsidR="002235D4" w:rsidRDefault="002235D4" w:rsidP="00860E1A">
            <w:pPr>
              <w:pStyle w:val="TAL"/>
            </w:pPr>
            <w:r>
              <w:rPr>
                <w:rFonts w:cs="Calibri"/>
                <w:color w:val="000000"/>
              </w:rPr>
              <w:t>ATG BS system</w:t>
            </w:r>
          </w:p>
        </w:tc>
        <w:tc>
          <w:tcPr>
            <w:tcW w:w="0" w:type="auto"/>
          </w:tcPr>
          <w:p w14:paraId="4509E59F" w14:textId="1F9F03BB" w:rsidR="002235D4" w:rsidRDefault="002235D4" w:rsidP="006130E6">
            <w:pPr>
              <w:pStyle w:val="TAC"/>
              <w:rPr>
                <w:rFonts w:cs="Calibri"/>
                <w:color w:val="000000"/>
              </w:rPr>
            </w:pPr>
            <w:r>
              <w:rPr>
                <w:rFonts w:cs="Calibri"/>
                <w:color w:val="000000"/>
              </w:rPr>
              <w:t>Tx max power [dBm]</w:t>
            </w:r>
          </w:p>
        </w:tc>
        <w:tc>
          <w:tcPr>
            <w:tcW w:w="784" w:type="dxa"/>
            <w:vAlign w:val="center"/>
          </w:tcPr>
          <w:p w14:paraId="52E5B1F3" w14:textId="05BC6E79" w:rsidR="002235D4" w:rsidRDefault="002235D4" w:rsidP="00860E1A">
            <w:pPr>
              <w:pStyle w:val="TAC"/>
            </w:pPr>
            <w:r>
              <w:t>43</w:t>
            </w:r>
          </w:p>
        </w:tc>
        <w:tc>
          <w:tcPr>
            <w:tcW w:w="944" w:type="dxa"/>
            <w:vAlign w:val="center"/>
          </w:tcPr>
          <w:p w14:paraId="3E50C517" w14:textId="76AA81E1" w:rsidR="002235D4" w:rsidRDefault="002235D4" w:rsidP="00860E1A">
            <w:pPr>
              <w:pStyle w:val="TAC"/>
              <w:rPr>
                <w:rFonts w:cs="Calibri"/>
                <w:color w:val="000000"/>
              </w:rPr>
            </w:pPr>
            <w:bookmarkStart w:id="11" w:name="RANGE!H6"/>
            <w:r>
              <w:rPr>
                <w:rFonts w:cs="Calibri"/>
                <w:color w:val="000000"/>
              </w:rPr>
              <w:t>5</w:t>
            </w:r>
            <w:bookmarkEnd w:id="11"/>
            <w:r>
              <w:rPr>
                <w:rFonts w:cs="Calibri"/>
                <w:color w:val="000000"/>
              </w:rPr>
              <w:t>0</w:t>
            </w:r>
          </w:p>
        </w:tc>
      </w:tr>
      <w:tr w:rsidR="002235D4" w14:paraId="1B43F7AC" w14:textId="45AA801F" w:rsidTr="006A3572">
        <w:trPr>
          <w:jc w:val="center"/>
        </w:trPr>
        <w:tc>
          <w:tcPr>
            <w:tcW w:w="1643" w:type="dxa"/>
            <w:vMerge/>
            <w:vAlign w:val="center"/>
          </w:tcPr>
          <w:p w14:paraId="07D43DE4" w14:textId="67673FFC" w:rsidR="002235D4" w:rsidRDefault="002235D4" w:rsidP="00860E1A">
            <w:pPr>
              <w:pStyle w:val="TAL"/>
            </w:pPr>
          </w:p>
        </w:tc>
        <w:tc>
          <w:tcPr>
            <w:tcW w:w="0" w:type="auto"/>
          </w:tcPr>
          <w:p w14:paraId="2AD9FB3F" w14:textId="6C8E5115" w:rsidR="002235D4" w:rsidRDefault="002235D4" w:rsidP="006130E6">
            <w:pPr>
              <w:pStyle w:val="TAC"/>
              <w:rPr>
                <w:rFonts w:cs="Calibri"/>
                <w:color w:val="000000"/>
              </w:rPr>
            </w:pPr>
            <w:r>
              <w:rPr>
                <w:rFonts w:cs="Calibri"/>
                <w:color w:val="000000"/>
              </w:rPr>
              <w:t>noise figure [dB]</w:t>
            </w:r>
          </w:p>
        </w:tc>
        <w:tc>
          <w:tcPr>
            <w:tcW w:w="784" w:type="dxa"/>
            <w:vAlign w:val="center"/>
          </w:tcPr>
          <w:p w14:paraId="47DA42DD" w14:textId="37FA2EF1" w:rsidR="002235D4" w:rsidRDefault="002235D4" w:rsidP="002235D4">
            <w:pPr>
              <w:pStyle w:val="TAC"/>
            </w:pPr>
            <w:r>
              <w:rPr>
                <w:rFonts w:cs="Calibri"/>
                <w:color w:val="000000"/>
              </w:rPr>
              <w:t>5</w:t>
            </w:r>
          </w:p>
        </w:tc>
        <w:tc>
          <w:tcPr>
            <w:tcW w:w="944" w:type="dxa"/>
            <w:vAlign w:val="center"/>
          </w:tcPr>
          <w:p w14:paraId="3901F882" w14:textId="2CE94B89" w:rsidR="002235D4" w:rsidRDefault="002235D4" w:rsidP="002235D4">
            <w:pPr>
              <w:pStyle w:val="TAC"/>
            </w:pPr>
            <w:r>
              <w:t>5</w:t>
            </w:r>
          </w:p>
        </w:tc>
      </w:tr>
      <w:tr w:rsidR="002235D4" w14:paraId="77B61C20" w14:textId="77777777" w:rsidTr="002235D4">
        <w:trPr>
          <w:jc w:val="center"/>
        </w:trPr>
        <w:tc>
          <w:tcPr>
            <w:tcW w:w="1643" w:type="dxa"/>
            <w:vMerge w:val="restart"/>
            <w:vAlign w:val="center"/>
          </w:tcPr>
          <w:p w14:paraId="19813DBB" w14:textId="54343CA4" w:rsidR="002235D4" w:rsidRDefault="002235D4" w:rsidP="00860E1A">
            <w:pPr>
              <w:pStyle w:val="TAL"/>
            </w:pPr>
            <w:r>
              <w:rPr>
                <w:rFonts w:cs="Calibri"/>
                <w:color w:val="000000"/>
              </w:rPr>
              <w:t>ATG BS antenna</w:t>
            </w:r>
          </w:p>
        </w:tc>
        <w:tc>
          <w:tcPr>
            <w:tcW w:w="0" w:type="auto"/>
          </w:tcPr>
          <w:p w14:paraId="6D7829B9" w14:textId="05A05366" w:rsidR="002235D4" w:rsidRDefault="002235D4" w:rsidP="006130E6">
            <w:pPr>
              <w:pStyle w:val="TAC"/>
              <w:rPr>
                <w:rFonts w:cs="Calibri"/>
                <w:color w:val="000000"/>
              </w:rPr>
            </w:pPr>
            <w:r>
              <w:rPr>
                <w:rFonts w:cs="Calibri"/>
                <w:color w:val="000000"/>
              </w:rPr>
              <w:t>Element gain [</w:t>
            </w:r>
            <w:proofErr w:type="spellStart"/>
            <w:r>
              <w:rPr>
                <w:rFonts w:cs="Calibri"/>
                <w:color w:val="000000"/>
              </w:rPr>
              <w:t>dBi</w:t>
            </w:r>
            <w:proofErr w:type="spellEnd"/>
            <w:r>
              <w:rPr>
                <w:rFonts w:cs="Calibri"/>
                <w:color w:val="000000"/>
              </w:rPr>
              <w:t>]</w:t>
            </w:r>
          </w:p>
        </w:tc>
        <w:tc>
          <w:tcPr>
            <w:tcW w:w="1728" w:type="dxa"/>
            <w:gridSpan w:val="2"/>
            <w:vAlign w:val="center"/>
          </w:tcPr>
          <w:p w14:paraId="7819253A" w14:textId="31C58E3E" w:rsidR="002235D4" w:rsidRDefault="002235D4" w:rsidP="00860E1A">
            <w:pPr>
              <w:pStyle w:val="TAC"/>
            </w:pPr>
            <w:bookmarkStart w:id="12" w:name="RANGE!H8"/>
            <w:r>
              <w:rPr>
                <w:rFonts w:cs="Calibri"/>
                <w:color w:val="000000"/>
              </w:rPr>
              <w:t>6.4</w:t>
            </w:r>
            <w:bookmarkEnd w:id="12"/>
          </w:p>
        </w:tc>
      </w:tr>
      <w:tr w:rsidR="002235D4" w14:paraId="24F458E8" w14:textId="77777777" w:rsidTr="002235D4">
        <w:trPr>
          <w:jc w:val="center"/>
        </w:trPr>
        <w:tc>
          <w:tcPr>
            <w:tcW w:w="1643" w:type="dxa"/>
            <w:vMerge/>
            <w:vAlign w:val="center"/>
          </w:tcPr>
          <w:p w14:paraId="35D8C621" w14:textId="77777777" w:rsidR="002235D4" w:rsidRDefault="002235D4" w:rsidP="006130E6">
            <w:pPr>
              <w:pStyle w:val="TAL"/>
              <w:rPr>
                <w:rFonts w:cs="Calibri"/>
                <w:color w:val="000000"/>
              </w:rPr>
            </w:pPr>
          </w:p>
        </w:tc>
        <w:tc>
          <w:tcPr>
            <w:tcW w:w="0" w:type="auto"/>
          </w:tcPr>
          <w:p w14:paraId="7B1C27FD" w14:textId="77777777" w:rsidR="002235D4" w:rsidRDefault="002235D4" w:rsidP="006130E6">
            <w:pPr>
              <w:pStyle w:val="TAC"/>
              <w:rPr>
                <w:rFonts w:cs="Calibri"/>
                <w:color w:val="000000"/>
              </w:rPr>
            </w:pPr>
            <w:r>
              <w:rPr>
                <w:rFonts w:cs="Calibri"/>
                <w:color w:val="000000"/>
              </w:rPr>
              <w:t>Array configuration</w:t>
            </w:r>
          </w:p>
          <w:p w14:paraId="7EE36AC6" w14:textId="19A80561" w:rsidR="002235D4" w:rsidRDefault="002235D4" w:rsidP="006130E6">
            <w:pPr>
              <w:pStyle w:val="TAC"/>
              <w:rPr>
                <w:rFonts w:cs="Calibri"/>
                <w:color w:val="000000"/>
              </w:rPr>
            </w:pPr>
            <w:r>
              <w:t>(Row × Column)</w:t>
            </w:r>
          </w:p>
        </w:tc>
        <w:tc>
          <w:tcPr>
            <w:tcW w:w="1728" w:type="dxa"/>
            <w:gridSpan w:val="2"/>
            <w:vAlign w:val="center"/>
          </w:tcPr>
          <w:p w14:paraId="204C2A02" w14:textId="39132310" w:rsidR="002235D4" w:rsidRDefault="002235D4" w:rsidP="006130E6">
            <w:pPr>
              <w:pStyle w:val="TAC"/>
              <w:rPr>
                <w:rFonts w:cs="Calibri"/>
                <w:color w:val="000000"/>
              </w:rPr>
            </w:pPr>
            <w:r>
              <w:rPr>
                <w:rFonts w:cs="Calibri"/>
                <w:color w:val="000000"/>
              </w:rPr>
              <w:t>4x8</w:t>
            </w:r>
          </w:p>
        </w:tc>
      </w:tr>
      <w:tr w:rsidR="002235D4" w14:paraId="022105FF" w14:textId="77777777" w:rsidTr="002235D4">
        <w:trPr>
          <w:jc w:val="center"/>
        </w:trPr>
        <w:tc>
          <w:tcPr>
            <w:tcW w:w="1643" w:type="dxa"/>
            <w:vMerge/>
            <w:vAlign w:val="center"/>
          </w:tcPr>
          <w:p w14:paraId="1C39BA05" w14:textId="77777777" w:rsidR="002235D4" w:rsidRDefault="002235D4" w:rsidP="006130E6">
            <w:pPr>
              <w:pStyle w:val="TAL"/>
              <w:rPr>
                <w:rFonts w:cs="Calibri"/>
                <w:color w:val="000000"/>
              </w:rPr>
            </w:pPr>
          </w:p>
        </w:tc>
        <w:tc>
          <w:tcPr>
            <w:tcW w:w="0" w:type="auto"/>
          </w:tcPr>
          <w:p w14:paraId="6DA21FE4" w14:textId="4C7C4CA0" w:rsidR="002235D4" w:rsidRDefault="002235D4" w:rsidP="006130E6">
            <w:pPr>
              <w:pStyle w:val="TAC"/>
              <w:rPr>
                <w:rFonts w:cs="Calibri"/>
                <w:color w:val="000000"/>
              </w:rPr>
            </w:pPr>
            <w:r>
              <w:rPr>
                <w:rFonts w:cs="Calibri"/>
                <w:color w:val="000000"/>
              </w:rPr>
              <w:t>Sub-array elements</w:t>
            </w:r>
          </w:p>
        </w:tc>
        <w:tc>
          <w:tcPr>
            <w:tcW w:w="1728" w:type="dxa"/>
            <w:gridSpan w:val="2"/>
            <w:vAlign w:val="center"/>
          </w:tcPr>
          <w:p w14:paraId="5D8CEB05" w14:textId="4A33996F" w:rsidR="002235D4" w:rsidRDefault="002235D4" w:rsidP="006130E6">
            <w:pPr>
              <w:pStyle w:val="TAC"/>
              <w:rPr>
                <w:rFonts w:cs="Calibri"/>
                <w:color w:val="000000"/>
              </w:rPr>
            </w:pPr>
            <w:r>
              <w:rPr>
                <w:rFonts w:cs="Calibri"/>
                <w:color w:val="000000"/>
              </w:rPr>
              <w:t>3</w:t>
            </w:r>
          </w:p>
        </w:tc>
      </w:tr>
      <w:tr w:rsidR="002235D4" w14:paraId="719E31AE" w14:textId="61FBE40B" w:rsidTr="006A3572">
        <w:trPr>
          <w:jc w:val="center"/>
        </w:trPr>
        <w:tc>
          <w:tcPr>
            <w:tcW w:w="1643" w:type="dxa"/>
            <w:vMerge w:val="restart"/>
            <w:vAlign w:val="center"/>
          </w:tcPr>
          <w:p w14:paraId="6642B833" w14:textId="02EEB798" w:rsidR="002235D4" w:rsidRDefault="002235D4" w:rsidP="006130E6">
            <w:pPr>
              <w:pStyle w:val="TAL"/>
            </w:pPr>
            <w:r>
              <w:rPr>
                <w:rFonts w:cs="Calibri"/>
                <w:color w:val="000000"/>
              </w:rPr>
              <w:t>ATG UE system</w:t>
            </w:r>
          </w:p>
          <w:p w14:paraId="2061F3C9" w14:textId="4F113AF1" w:rsidR="002235D4" w:rsidRDefault="002235D4" w:rsidP="00860E1A">
            <w:pPr>
              <w:pStyle w:val="TAL"/>
            </w:pPr>
          </w:p>
        </w:tc>
        <w:tc>
          <w:tcPr>
            <w:tcW w:w="0" w:type="auto"/>
          </w:tcPr>
          <w:p w14:paraId="71290B73" w14:textId="1371C2E4" w:rsidR="002235D4" w:rsidRDefault="002235D4" w:rsidP="006130E6">
            <w:pPr>
              <w:pStyle w:val="TAC"/>
              <w:rPr>
                <w:rFonts w:cs="Calibri"/>
                <w:color w:val="000000"/>
              </w:rPr>
            </w:pPr>
            <w:r>
              <w:rPr>
                <w:rFonts w:cs="Calibri"/>
                <w:color w:val="000000"/>
              </w:rPr>
              <w:t>T</w:t>
            </w:r>
            <w:r w:rsidR="000B1C94">
              <w:rPr>
                <w:rFonts w:cs="Calibri"/>
                <w:color w:val="000000"/>
              </w:rPr>
              <w:t xml:space="preserve">RP or EIRP </w:t>
            </w:r>
            <w:r>
              <w:rPr>
                <w:rFonts w:cs="Calibri"/>
                <w:color w:val="000000"/>
              </w:rPr>
              <w:t>[dBm]</w:t>
            </w:r>
          </w:p>
        </w:tc>
        <w:tc>
          <w:tcPr>
            <w:tcW w:w="784" w:type="dxa"/>
            <w:vAlign w:val="center"/>
          </w:tcPr>
          <w:p w14:paraId="5F0C301A" w14:textId="0C292A24" w:rsidR="002235D4" w:rsidRDefault="002235D4" w:rsidP="002235D4">
            <w:pPr>
              <w:pStyle w:val="TAC"/>
            </w:pPr>
            <w:r>
              <w:t>40</w:t>
            </w:r>
          </w:p>
        </w:tc>
        <w:tc>
          <w:tcPr>
            <w:tcW w:w="944" w:type="dxa"/>
            <w:vAlign w:val="center"/>
          </w:tcPr>
          <w:p w14:paraId="17685EC7" w14:textId="77777777" w:rsidR="002235D4" w:rsidRDefault="002235D4" w:rsidP="00860E1A">
            <w:pPr>
              <w:pStyle w:val="TAC"/>
              <w:rPr>
                <w:rFonts w:cs="Calibri"/>
                <w:color w:val="000000"/>
              </w:rPr>
            </w:pPr>
            <w:bookmarkStart w:id="13" w:name="RANGE!H9"/>
            <w:r>
              <w:rPr>
                <w:rFonts w:cs="Calibri"/>
                <w:color w:val="000000"/>
              </w:rPr>
              <w:t>43</w:t>
            </w:r>
            <w:bookmarkEnd w:id="13"/>
          </w:p>
        </w:tc>
      </w:tr>
      <w:tr w:rsidR="002235D4" w14:paraId="1DC707E3" w14:textId="21E2FD32" w:rsidTr="006A3572">
        <w:trPr>
          <w:jc w:val="center"/>
        </w:trPr>
        <w:tc>
          <w:tcPr>
            <w:tcW w:w="1643" w:type="dxa"/>
            <w:vMerge/>
            <w:vAlign w:val="center"/>
          </w:tcPr>
          <w:p w14:paraId="5CE4D10D" w14:textId="731EE159" w:rsidR="002235D4" w:rsidRDefault="002235D4" w:rsidP="00860E1A">
            <w:pPr>
              <w:pStyle w:val="TAL"/>
            </w:pPr>
          </w:p>
        </w:tc>
        <w:tc>
          <w:tcPr>
            <w:tcW w:w="0" w:type="auto"/>
          </w:tcPr>
          <w:p w14:paraId="19D258F7" w14:textId="1C4704A9" w:rsidR="002235D4" w:rsidRDefault="002235D4" w:rsidP="006130E6">
            <w:pPr>
              <w:pStyle w:val="TAC"/>
              <w:rPr>
                <w:rFonts w:cs="Calibri"/>
                <w:color w:val="000000"/>
              </w:rPr>
            </w:pPr>
            <w:r>
              <w:rPr>
                <w:rFonts w:cs="Calibri"/>
                <w:color w:val="000000"/>
              </w:rPr>
              <w:t>noise figure [dB]</w:t>
            </w:r>
          </w:p>
        </w:tc>
        <w:tc>
          <w:tcPr>
            <w:tcW w:w="784" w:type="dxa"/>
            <w:vAlign w:val="center"/>
          </w:tcPr>
          <w:p w14:paraId="71EFF641" w14:textId="22426BF0" w:rsidR="002235D4" w:rsidRDefault="002235D4" w:rsidP="002235D4">
            <w:pPr>
              <w:pStyle w:val="TAC"/>
            </w:pPr>
            <w:r>
              <w:t>9</w:t>
            </w:r>
          </w:p>
        </w:tc>
        <w:tc>
          <w:tcPr>
            <w:tcW w:w="944" w:type="dxa"/>
            <w:vAlign w:val="center"/>
          </w:tcPr>
          <w:p w14:paraId="1C181E77" w14:textId="77777777" w:rsidR="002235D4" w:rsidRDefault="002235D4" w:rsidP="00860E1A">
            <w:pPr>
              <w:pStyle w:val="TAC"/>
              <w:rPr>
                <w:rFonts w:cs="Calibri"/>
                <w:color w:val="000000"/>
              </w:rPr>
            </w:pPr>
            <w:bookmarkStart w:id="14" w:name="RANGE!H10"/>
            <w:r>
              <w:rPr>
                <w:rFonts w:cs="Calibri"/>
                <w:color w:val="000000"/>
              </w:rPr>
              <w:t>9</w:t>
            </w:r>
            <w:bookmarkEnd w:id="14"/>
          </w:p>
        </w:tc>
      </w:tr>
      <w:tr w:rsidR="000B1C94" w14:paraId="312AC3C5" w14:textId="040A66CE" w:rsidTr="000B1C94">
        <w:trPr>
          <w:jc w:val="center"/>
        </w:trPr>
        <w:tc>
          <w:tcPr>
            <w:tcW w:w="1643" w:type="dxa"/>
            <w:vMerge w:val="restart"/>
            <w:vAlign w:val="center"/>
          </w:tcPr>
          <w:p w14:paraId="7536688C" w14:textId="4DD0068B" w:rsidR="000B1C94" w:rsidRDefault="000B1C94" w:rsidP="00860E1A">
            <w:pPr>
              <w:pStyle w:val="TAL"/>
              <w:rPr>
                <w:rFonts w:cs="Calibri"/>
                <w:color w:val="000000"/>
              </w:rPr>
            </w:pPr>
            <w:r>
              <w:rPr>
                <w:rFonts w:cs="Calibri"/>
                <w:color w:val="000000"/>
              </w:rPr>
              <w:t>ATG UE antenna</w:t>
            </w:r>
          </w:p>
        </w:tc>
        <w:tc>
          <w:tcPr>
            <w:tcW w:w="0" w:type="auto"/>
          </w:tcPr>
          <w:p w14:paraId="1FD2F1C2" w14:textId="2E7F77D1" w:rsidR="000B1C94" w:rsidRDefault="000B1C94" w:rsidP="006130E6">
            <w:pPr>
              <w:pStyle w:val="TAC"/>
              <w:rPr>
                <w:rFonts w:cs="Calibri"/>
                <w:color w:val="000000"/>
              </w:rPr>
            </w:pPr>
            <w:r>
              <w:rPr>
                <w:rFonts w:cs="Calibri"/>
                <w:color w:val="000000"/>
              </w:rPr>
              <w:t>element gain [</w:t>
            </w:r>
            <w:proofErr w:type="spellStart"/>
            <w:r>
              <w:rPr>
                <w:rFonts w:cs="Calibri"/>
                <w:color w:val="000000"/>
              </w:rPr>
              <w:t>dBi</w:t>
            </w:r>
            <w:proofErr w:type="spellEnd"/>
            <w:r>
              <w:rPr>
                <w:rFonts w:cs="Calibri"/>
                <w:color w:val="000000"/>
              </w:rPr>
              <w:t>]</w:t>
            </w:r>
          </w:p>
        </w:tc>
        <w:tc>
          <w:tcPr>
            <w:tcW w:w="780" w:type="dxa"/>
            <w:vAlign w:val="center"/>
          </w:tcPr>
          <w:p w14:paraId="4A296594" w14:textId="51271801" w:rsidR="000B1C94" w:rsidRDefault="009E18BA" w:rsidP="000B1C94">
            <w:pPr>
              <w:pStyle w:val="TAC"/>
            </w:pPr>
            <w:r>
              <w:t>0</w:t>
            </w:r>
          </w:p>
        </w:tc>
        <w:tc>
          <w:tcPr>
            <w:tcW w:w="948" w:type="dxa"/>
            <w:vAlign w:val="center"/>
          </w:tcPr>
          <w:p w14:paraId="1E16AF3A" w14:textId="77777777" w:rsidR="000B1C94" w:rsidRDefault="000B1C94" w:rsidP="00860E1A">
            <w:pPr>
              <w:pStyle w:val="TAC"/>
            </w:pPr>
            <w:r>
              <w:t>5</w:t>
            </w:r>
          </w:p>
        </w:tc>
      </w:tr>
      <w:tr w:rsidR="006A3572" w14:paraId="300FFAA1" w14:textId="4617DAAA" w:rsidTr="006A3572">
        <w:trPr>
          <w:jc w:val="center"/>
        </w:trPr>
        <w:tc>
          <w:tcPr>
            <w:tcW w:w="1643" w:type="dxa"/>
            <w:vMerge/>
            <w:vAlign w:val="center"/>
          </w:tcPr>
          <w:p w14:paraId="1237DA40" w14:textId="77777777" w:rsidR="006A3572" w:rsidRDefault="006A3572" w:rsidP="00241D94">
            <w:pPr>
              <w:pStyle w:val="TAL"/>
              <w:rPr>
                <w:rFonts w:cs="Calibri"/>
                <w:color w:val="000000"/>
              </w:rPr>
            </w:pPr>
          </w:p>
        </w:tc>
        <w:tc>
          <w:tcPr>
            <w:tcW w:w="0" w:type="auto"/>
          </w:tcPr>
          <w:p w14:paraId="7B67A43D" w14:textId="77777777" w:rsidR="006A3572" w:rsidRDefault="006A3572" w:rsidP="00241D94">
            <w:pPr>
              <w:pStyle w:val="TAC"/>
              <w:rPr>
                <w:rFonts w:cs="Calibri"/>
                <w:color w:val="000000"/>
              </w:rPr>
            </w:pPr>
            <w:r>
              <w:rPr>
                <w:rFonts w:cs="Calibri"/>
                <w:color w:val="000000"/>
              </w:rPr>
              <w:t>Array configuration</w:t>
            </w:r>
          </w:p>
          <w:p w14:paraId="03BC8E30" w14:textId="5214A87A" w:rsidR="006A3572" w:rsidRDefault="006A3572" w:rsidP="00241D94">
            <w:pPr>
              <w:pStyle w:val="TAC"/>
              <w:rPr>
                <w:rFonts w:cs="Calibri"/>
                <w:color w:val="000000"/>
              </w:rPr>
            </w:pPr>
            <w:r>
              <w:t>(Row × Column)</w:t>
            </w:r>
          </w:p>
        </w:tc>
        <w:tc>
          <w:tcPr>
            <w:tcW w:w="784" w:type="dxa"/>
            <w:vAlign w:val="center"/>
          </w:tcPr>
          <w:p w14:paraId="7BC42D6F" w14:textId="1631A2C6" w:rsidR="006A3572" w:rsidRDefault="000B1C94" w:rsidP="002235D4">
            <w:pPr>
              <w:pStyle w:val="TAC"/>
              <w:jc w:val="left"/>
              <w:rPr>
                <w:rFonts w:cs="Calibri"/>
                <w:color w:val="000000"/>
              </w:rPr>
            </w:pPr>
            <w:r>
              <w:rPr>
                <w:rFonts w:cs="Calibri"/>
                <w:color w:val="000000"/>
              </w:rPr>
              <w:t>\</w:t>
            </w:r>
          </w:p>
        </w:tc>
        <w:tc>
          <w:tcPr>
            <w:tcW w:w="944" w:type="dxa"/>
            <w:vAlign w:val="center"/>
          </w:tcPr>
          <w:p w14:paraId="13F2889B" w14:textId="7D6DC423" w:rsidR="006A3572" w:rsidRDefault="006A3572" w:rsidP="006A3572">
            <w:pPr>
              <w:pStyle w:val="TAC"/>
              <w:jc w:val="left"/>
              <w:rPr>
                <w:lang w:val="en-US" w:eastAsia="zh-CN"/>
              </w:rPr>
            </w:pPr>
            <w:r>
              <w:rPr>
                <w:lang w:val="en-US" w:eastAsia="zh-CN"/>
              </w:rPr>
              <w:t xml:space="preserve">(8x2) or </w:t>
            </w:r>
          </w:p>
          <w:p w14:paraId="1C2C9615" w14:textId="7A40E2E9" w:rsidR="006A3572" w:rsidRDefault="006A3572" w:rsidP="006A3572">
            <w:pPr>
              <w:pStyle w:val="TAC"/>
              <w:jc w:val="left"/>
              <w:rPr>
                <w:lang w:val="en-US" w:eastAsia="zh-CN"/>
              </w:rPr>
            </w:pPr>
            <w:r>
              <w:rPr>
                <w:lang w:eastAsia="zh-CN"/>
              </w:rPr>
              <w:t>(16x1)</w:t>
            </w:r>
          </w:p>
        </w:tc>
      </w:tr>
    </w:tbl>
    <w:p w14:paraId="1D036C0F" w14:textId="141C48A8" w:rsidR="00C172F1" w:rsidRDefault="009801F4" w:rsidP="007D51D0">
      <w:pPr>
        <w:rPr>
          <w:lang w:val="en-GB" w:eastAsia="en-US"/>
        </w:rPr>
      </w:pPr>
      <w:r>
        <w:rPr>
          <w:lang w:val="en-GB" w:eastAsia="en-US"/>
        </w:rPr>
        <w:t xml:space="preserve">The intention here is to show the possibility of using 256QAM in ATG network, so the </w:t>
      </w:r>
      <w:r w:rsidR="00F323E3">
        <w:rPr>
          <w:lang w:val="en-GB" w:eastAsia="en-US"/>
        </w:rPr>
        <w:t>larg</w:t>
      </w:r>
      <w:r>
        <w:rPr>
          <w:lang w:val="en-GB" w:eastAsia="en-US"/>
        </w:rPr>
        <w:t xml:space="preserve">est antenna gain is assumed for all propagation distance. </w:t>
      </w:r>
      <w:r w:rsidR="007B5422">
        <w:rPr>
          <w:lang w:val="en-GB" w:eastAsia="en-US"/>
        </w:rPr>
        <w:t xml:space="preserve">The SNR at receiver side for 2GHz and 4GHz are showed in figure 2-1. </w:t>
      </w:r>
    </w:p>
    <w:p w14:paraId="27642E46" w14:textId="028A000C" w:rsidR="007B5422" w:rsidRDefault="00CF4D85" w:rsidP="006D071A">
      <w:pPr>
        <w:jc w:val="center"/>
        <w:rPr>
          <w:lang w:val="en-GB" w:eastAsia="en-US"/>
        </w:rPr>
      </w:pPr>
      <w:r>
        <w:rPr>
          <w:noProof/>
        </w:rPr>
        <w:lastRenderedPageBreak/>
        <w:drawing>
          <wp:inline distT="0" distB="0" distL="0" distR="0" wp14:anchorId="1D9575A1" wp14:editId="0B538C63">
            <wp:extent cx="4911725" cy="2743200"/>
            <wp:effectExtent l="0" t="0" r="0" b="0"/>
            <wp:docPr id="1" name="Chart 1">
              <a:extLst xmlns:a="http://schemas.openxmlformats.org/drawingml/2006/main">
                <a:ext uri="{FF2B5EF4-FFF2-40B4-BE49-F238E27FC236}">
                  <a16:creationId xmlns:a16="http://schemas.microsoft.com/office/drawing/2014/main" id="{930D3D88-CAFB-69D4-82DA-273B21B4D32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FD9B501" w14:textId="03308C6D" w:rsidR="006D071A" w:rsidRDefault="00CF4D85" w:rsidP="006D071A">
      <w:pPr>
        <w:jc w:val="center"/>
        <w:rPr>
          <w:lang w:val="en-GB" w:eastAsia="en-US"/>
        </w:rPr>
      </w:pPr>
      <w:r>
        <w:rPr>
          <w:noProof/>
        </w:rPr>
        <w:drawing>
          <wp:inline distT="0" distB="0" distL="0" distR="0" wp14:anchorId="423A4621" wp14:editId="13E04ABA">
            <wp:extent cx="4895849" cy="2743200"/>
            <wp:effectExtent l="0" t="0" r="0" b="0"/>
            <wp:docPr id="5" name="Chart 5">
              <a:extLst xmlns:a="http://schemas.openxmlformats.org/drawingml/2006/main">
                <a:ext uri="{FF2B5EF4-FFF2-40B4-BE49-F238E27FC236}">
                  <a16:creationId xmlns:a16="http://schemas.microsoft.com/office/drawing/2014/main" id="{ADDE7087-F7A7-C240-A04D-7B6D5AC7280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7F5CCDF" w14:textId="03E5978D" w:rsidR="006D071A" w:rsidRDefault="006D071A" w:rsidP="006D071A">
      <w:pPr>
        <w:jc w:val="center"/>
        <w:rPr>
          <w:lang w:val="en-GB" w:eastAsia="en-US"/>
        </w:rPr>
      </w:pPr>
      <w:r>
        <w:rPr>
          <w:lang w:val="en-GB" w:eastAsia="en-US"/>
        </w:rPr>
        <w:t xml:space="preserve">Figure 2-1 </w:t>
      </w:r>
      <w:r w:rsidR="00C608FE">
        <w:rPr>
          <w:lang w:val="en-GB" w:eastAsia="en-US"/>
        </w:rPr>
        <w:t>Received SNR vs. propagation distance</w:t>
      </w:r>
    </w:p>
    <w:p w14:paraId="48B35D9B" w14:textId="4503D375" w:rsidR="007B5422" w:rsidRDefault="007B5422" w:rsidP="007D51D0">
      <w:pPr>
        <w:rPr>
          <w:lang w:val="en-GB" w:eastAsia="en-US"/>
        </w:rPr>
      </w:pPr>
      <w:r>
        <w:rPr>
          <w:lang w:val="en-GB" w:eastAsia="en-US"/>
        </w:rPr>
        <w:t xml:space="preserve">According to our </w:t>
      </w:r>
      <w:r w:rsidRPr="00720092">
        <w:rPr>
          <w:lang w:val="en-GB" w:eastAsia="en-US"/>
        </w:rPr>
        <w:t>simulation</w:t>
      </w:r>
      <w:r w:rsidR="008117FB">
        <w:rPr>
          <w:lang w:val="en-GB" w:eastAsia="en-US"/>
        </w:rPr>
        <w:t xml:space="preserve"> for PDSCH </w:t>
      </w:r>
      <w:r w:rsidRPr="00720092">
        <w:rPr>
          <w:lang w:val="en-GB" w:eastAsia="en-US"/>
        </w:rPr>
        <w:t>[</w:t>
      </w:r>
      <w:r w:rsidR="00AA2959" w:rsidRPr="00720092">
        <w:rPr>
          <w:lang w:val="en-GB" w:eastAsia="en-US"/>
        </w:rPr>
        <w:t>5</w:t>
      </w:r>
      <w:r w:rsidRPr="00720092">
        <w:rPr>
          <w:lang w:val="en-GB" w:eastAsia="en-US"/>
        </w:rPr>
        <w:t>]</w:t>
      </w:r>
      <w:r w:rsidR="008117FB">
        <w:rPr>
          <w:lang w:val="en-GB" w:eastAsia="en-US"/>
        </w:rPr>
        <w:t xml:space="preserve"> and PUSCH</w:t>
      </w:r>
      <w:r w:rsidRPr="00720092">
        <w:rPr>
          <w:lang w:val="en-GB" w:eastAsia="en-US"/>
        </w:rPr>
        <w:t>,</w:t>
      </w:r>
      <w:r>
        <w:rPr>
          <w:lang w:val="en-GB" w:eastAsia="en-US"/>
        </w:rPr>
        <w:t xml:space="preserve"> the SNR</w:t>
      </w:r>
      <w:r w:rsidR="00BC592D">
        <w:rPr>
          <w:lang w:val="en-GB" w:eastAsia="en-US"/>
        </w:rPr>
        <w:t xml:space="preserve"> vs normalized</w:t>
      </w:r>
      <w:r>
        <w:rPr>
          <w:lang w:val="en-GB" w:eastAsia="en-US"/>
        </w:rPr>
        <w:t xml:space="preserve"> throughput for 256QAM MCS2</w:t>
      </w:r>
      <w:r w:rsidR="00006A9F">
        <w:rPr>
          <w:lang w:val="en-GB" w:eastAsia="en-US"/>
        </w:rPr>
        <w:t>7</w:t>
      </w:r>
      <w:r>
        <w:rPr>
          <w:lang w:val="en-GB" w:eastAsia="en-US"/>
        </w:rPr>
        <w:t xml:space="preserve"> and MCS20 are showed in </w:t>
      </w:r>
      <w:r w:rsidR="00BC592D">
        <w:rPr>
          <w:lang w:val="en-GB" w:eastAsia="en-US"/>
        </w:rPr>
        <w:t>following figures</w:t>
      </w:r>
      <w:r>
        <w:rPr>
          <w:lang w:val="en-GB" w:eastAsia="en-US"/>
        </w:rPr>
        <w:t xml:space="preserve">. </w:t>
      </w:r>
      <w:r w:rsidR="00E141F1">
        <w:rPr>
          <w:lang w:val="en-GB" w:eastAsia="en-US"/>
        </w:rPr>
        <w:t xml:space="preserve">The results show that TDD scenario </w:t>
      </w:r>
      <w:r w:rsidR="00683875">
        <w:rPr>
          <w:lang w:val="en-GB" w:eastAsia="en-US"/>
        </w:rPr>
        <w:t xml:space="preserve">could have </w:t>
      </w:r>
      <w:r w:rsidR="00EF2AD7">
        <w:rPr>
          <w:lang w:val="en-GB" w:eastAsia="en-US"/>
        </w:rPr>
        <w:t>clear</w:t>
      </w:r>
      <w:r w:rsidR="00683875">
        <w:rPr>
          <w:lang w:val="en-GB" w:eastAsia="en-US"/>
        </w:rPr>
        <w:t xml:space="preserve"> degradation</w:t>
      </w:r>
      <w:r w:rsidR="00EF2AD7">
        <w:rPr>
          <w:lang w:val="en-GB" w:eastAsia="en-US"/>
        </w:rPr>
        <w:t xml:space="preserve"> compared to FDD</w:t>
      </w:r>
      <w:r w:rsidR="00683875">
        <w:rPr>
          <w:lang w:val="en-GB" w:eastAsia="en-US"/>
        </w:rPr>
        <w:t xml:space="preserve"> due to larger pathloss and </w:t>
      </w:r>
      <w:r w:rsidR="00EF2AD7">
        <w:rPr>
          <w:lang w:val="en-GB" w:eastAsia="en-US"/>
        </w:rPr>
        <w:t xml:space="preserve">larger channel bandwidth. </w:t>
      </w:r>
    </w:p>
    <w:p w14:paraId="7D36D599" w14:textId="112077D8" w:rsidR="009B39BF" w:rsidRDefault="00216608" w:rsidP="00216608">
      <w:pPr>
        <w:jc w:val="center"/>
        <w:rPr>
          <w:lang w:val="en-GB" w:eastAsia="en-US"/>
        </w:rPr>
      </w:pPr>
      <w:r>
        <w:rPr>
          <w:noProof/>
          <w:lang w:val="en-GB" w:eastAsia="en-US"/>
        </w:rPr>
        <w:lastRenderedPageBreak/>
        <w:drawing>
          <wp:inline distT="0" distB="0" distL="0" distR="0" wp14:anchorId="25A24860" wp14:editId="54E34345">
            <wp:extent cx="4663696" cy="2832100"/>
            <wp:effectExtent l="0" t="0" r="0" b="0"/>
            <wp:docPr id="3" name="Picture 3" descr="A picture containing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line char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678147" cy="2840875"/>
                    </a:xfrm>
                    <a:prstGeom prst="rect">
                      <a:avLst/>
                    </a:prstGeom>
                  </pic:spPr>
                </pic:pic>
              </a:graphicData>
            </a:graphic>
          </wp:inline>
        </w:drawing>
      </w:r>
    </w:p>
    <w:p w14:paraId="246826E6" w14:textId="7050B821" w:rsidR="00EF2AD7" w:rsidRDefault="006B5DD1" w:rsidP="006B5DD1">
      <w:pPr>
        <w:rPr>
          <w:lang w:val="en-GB" w:eastAsia="en-US"/>
        </w:rPr>
      </w:pPr>
      <w:r>
        <w:rPr>
          <w:lang w:val="en-GB" w:eastAsia="en-US"/>
        </w:rPr>
        <w:t xml:space="preserve">The results are based </w:t>
      </w:r>
      <w:r w:rsidR="004B7E13">
        <w:rPr>
          <w:lang w:val="en-GB" w:eastAsia="en-US"/>
        </w:rPr>
        <w:t>2Rx to 8Rx as normal demodulation configurations</w:t>
      </w:r>
      <w:r w:rsidR="00902D0C">
        <w:rPr>
          <w:lang w:val="en-GB" w:eastAsia="en-US"/>
        </w:rPr>
        <w:t xml:space="preserve"> for </w:t>
      </w:r>
      <w:r w:rsidR="00131D93">
        <w:rPr>
          <w:lang w:val="en-GB" w:eastAsia="en-US"/>
        </w:rPr>
        <w:t xml:space="preserve">256QAM </w:t>
      </w:r>
      <w:r w:rsidR="00902D0C">
        <w:rPr>
          <w:lang w:val="en-GB" w:eastAsia="en-US"/>
        </w:rPr>
        <w:t>MCS20 and MCS27</w:t>
      </w:r>
      <w:r w:rsidR="004B7E13">
        <w:rPr>
          <w:lang w:val="en-GB" w:eastAsia="en-US"/>
        </w:rPr>
        <w:t>.</w:t>
      </w:r>
      <w:r w:rsidR="00902D0C">
        <w:rPr>
          <w:lang w:val="en-GB" w:eastAsia="en-US"/>
        </w:rPr>
        <w:t xml:space="preserve"> </w:t>
      </w:r>
      <w:r w:rsidR="00131D93">
        <w:rPr>
          <w:lang w:val="en-GB" w:eastAsia="en-US"/>
        </w:rPr>
        <w:t xml:space="preserve">Based on link simulation, the </w:t>
      </w:r>
      <w:r w:rsidR="001661BB">
        <w:rPr>
          <w:lang w:val="en-GB" w:eastAsia="en-US"/>
        </w:rPr>
        <w:t xml:space="preserve">operating </w:t>
      </w:r>
      <w:r w:rsidR="008117FB">
        <w:rPr>
          <w:lang w:val="en-GB" w:eastAsia="en-US"/>
        </w:rPr>
        <w:t xml:space="preserve">SNR </w:t>
      </w:r>
      <w:r w:rsidR="00285011">
        <w:rPr>
          <w:lang w:val="en-GB" w:eastAsia="en-US"/>
        </w:rPr>
        <w:t xml:space="preserve">(95% peak throughput) </w:t>
      </w:r>
      <w:r w:rsidR="00DC74EE">
        <w:rPr>
          <w:lang w:val="en-GB" w:eastAsia="en-US"/>
        </w:rPr>
        <w:t>are ~20dB</w:t>
      </w:r>
      <w:r w:rsidR="001661BB">
        <w:rPr>
          <w:lang w:val="en-GB" w:eastAsia="en-US"/>
        </w:rPr>
        <w:t xml:space="preserve"> for 256QAM MCS20 </w:t>
      </w:r>
      <w:r w:rsidR="00BD741C">
        <w:rPr>
          <w:lang w:val="en-GB" w:eastAsia="en-US"/>
        </w:rPr>
        <w:t>and</w:t>
      </w:r>
      <w:r w:rsidR="004B7E13">
        <w:rPr>
          <w:lang w:val="en-GB" w:eastAsia="en-US"/>
        </w:rPr>
        <w:t xml:space="preserve"> </w:t>
      </w:r>
      <w:r w:rsidR="00DC74EE">
        <w:rPr>
          <w:lang w:val="en-GB" w:eastAsia="en-US"/>
        </w:rPr>
        <w:t>~2</w:t>
      </w:r>
      <w:r w:rsidR="00766144">
        <w:rPr>
          <w:lang w:val="en-GB" w:eastAsia="en-US"/>
        </w:rPr>
        <w:t>8</w:t>
      </w:r>
      <w:r w:rsidR="00DC74EE">
        <w:rPr>
          <w:lang w:val="en-GB" w:eastAsia="en-US"/>
        </w:rPr>
        <w:t>dB f</w:t>
      </w:r>
      <w:r w:rsidR="004B7E13">
        <w:rPr>
          <w:lang w:val="en-GB" w:eastAsia="en-US"/>
        </w:rPr>
        <w:t>or</w:t>
      </w:r>
      <w:r w:rsidR="004C626B">
        <w:rPr>
          <w:lang w:val="en-GB" w:eastAsia="en-US"/>
        </w:rPr>
        <w:t xml:space="preserve"> 256QAM MCS27</w:t>
      </w:r>
      <w:r w:rsidR="00D47776">
        <w:rPr>
          <w:lang w:val="en-GB" w:eastAsia="en-US"/>
        </w:rPr>
        <w:t xml:space="preserve"> at the receiver</w:t>
      </w:r>
      <w:r w:rsidR="00832BB4">
        <w:rPr>
          <w:lang w:val="en-GB" w:eastAsia="en-US"/>
        </w:rPr>
        <w:t xml:space="preserve"> </w:t>
      </w:r>
      <w:r w:rsidR="00613B32">
        <w:rPr>
          <w:lang w:val="en-GB" w:eastAsia="en-US"/>
        </w:rPr>
        <w:t>after</w:t>
      </w:r>
      <w:r w:rsidR="00832BB4">
        <w:rPr>
          <w:lang w:val="en-GB" w:eastAsia="en-US"/>
        </w:rPr>
        <w:t xml:space="preserve"> antenna</w:t>
      </w:r>
      <w:r w:rsidR="008117FB">
        <w:rPr>
          <w:lang w:val="en-GB" w:eastAsia="en-US"/>
        </w:rPr>
        <w:t xml:space="preserve"> combination</w:t>
      </w:r>
      <w:r w:rsidR="004C626B">
        <w:rPr>
          <w:lang w:val="en-GB" w:eastAsia="en-US"/>
        </w:rPr>
        <w:t xml:space="preserve">. Compared with link budget </w:t>
      </w:r>
      <w:r w:rsidR="001A223C">
        <w:rPr>
          <w:lang w:val="en-GB" w:eastAsia="en-US"/>
        </w:rPr>
        <w:t xml:space="preserve">results, </w:t>
      </w:r>
      <w:r w:rsidR="00EF2AD7">
        <w:rPr>
          <w:lang w:val="en-GB" w:eastAsia="en-US"/>
        </w:rPr>
        <w:t xml:space="preserve">we can see that: </w:t>
      </w:r>
    </w:p>
    <w:p w14:paraId="18C6D03C" w14:textId="28AF58A0" w:rsidR="004C626B" w:rsidRDefault="00EF2AD7" w:rsidP="00EF2AD7">
      <w:pPr>
        <w:pStyle w:val="ListParagraph"/>
        <w:numPr>
          <w:ilvl w:val="0"/>
          <w:numId w:val="49"/>
        </w:numPr>
        <w:rPr>
          <w:lang w:val="en-GB"/>
        </w:rPr>
      </w:pPr>
      <w:r>
        <w:rPr>
          <w:lang w:val="en-GB"/>
        </w:rPr>
        <w:t>For FDD</w:t>
      </w:r>
      <w:r w:rsidR="002E6D11">
        <w:rPr>
          <w:lang w:val="en-GB"/>
        </w:rPr>
        <w:t xml:space="preserve"> 20MHz CBW</w:t>
      </w:r>
      <w:r>
        <w:rPr>
          <w:lang w:val="en-GB"/>
        </w:rPr>
        <w:t xml:space="preserve">, </w:t>
      </w:r>
      <w:r w:rsidR="00FC3700" w:rsidRPr="00EF2AD7">
        <w:rPr>
          <w:lang w:val="en-GB"/>
        </w:rPr>
        <w:t xml:space="preserve">256QAM could be used </w:t>
      </w:r>
      <w:r w:rsidR="000922DA">
        <w:rPr>
          <w:lang w:val="en-GB"/>
        </w:rPr>
        <w:t xml:space="preserve">for both DL and UL </w:t>
      </w:r>
      <w:r>
        <w:rPr>
          <w:lang w:val="en-GB"/>
        </w:rPr>
        <w:t>when</w:t>
      </w:r>
      <w:r w:rsidR="00FC3700" w:rsidRPr="00EF2AD7">
        <w:rPr>
          <w:lang w:val="en-GB"/>
        </w:rPr>
        <w:t xml:space="preserve"> </w:t>
      </w:r>
      <w:r w:rsidR="007A31B5" w:rsidRPr="00EF2AD7">
        <w:rPr>
          <w:lang w:val="en-GB"/>
        </w:rPr>
        <w:t xml:space="preserve">distance is less than </w:t>
      </w:r>
      <w:r w:rsidR="00FC3700" w:rsidRPr="00EF2AD7">
        <w:rPr>
          <w:lang w:val="en-GB"/>
        </w:rPr>
        <w:t>1</w:t>
      </w:r>
      <w:r w:rsidR="007A31B5" w:rsidRPr="00EF2AD7">
        <w:rPr>
          <w:lang w:val="en-GB"/>
        </w:rPr>
        <w:t>40km</w:t>
      </w:r>
      <w:r>
        <w:rPr>
          <w:lang w:val="en-GB"/>
        </w:rPr>
        <w:t xml:space="preserve">. </w:t>
      </w:r>
    </w:p>
    <w:p w14:paraId="48E8AED4" w14:textId="592C340E" w:rsidR="00EF2AD7" w:rsidRPr="00EF2AD7" w:rsidRDefault="00EF2AD7" w:rsidP="00EF2AD7">
      <w:pPr>
        <w:pStyle w:val="ListParagraph"/>
        <w:numPr>
          <w:ilvl w:val="0"/>
          <w:numId w:val="49"/>
        </w:numPr>
        <w:rPr>
          <w:lang w:val="en-GB"/>
        </w:rPr>
      </w:pPr>
      <w:r>
        <w:rPr>
          <w:lang w:val="en-GB"/>
        </w:rPr>
        <w:t>For TDD</w:t>
      </w:r>
      <w:r w:rsidR="002E6D11">
        <w:rPr>
          <w:lang w:val="en-GB"/>
        </w:rPr>
        <w:t xml:space="preserve"> 100MHz CBW</w:t>
      </w:r>
      <w:r>
        <w:rPr>
          <w:lang w:val="en-GB"/>
        </w:rPr>
        <w:t xml:space="preserve">, </w:t>
      </w:r>
      <w:r w:rsidR="000922DA" w:rsidRPr="00EF2AD7">
        <w:rPr>
          <w:lang w:val="en-GB"/>
        </w:rPr>
        <w:t xml:space="preserve">256QAM could be used </w:t>
      </w:r>
      <w:r w:rsidR="000922DA">
        <w:rPr>
          <w:lang w:val="en-GB"/>
        </w:rPr>
        <w:t>for DL when</w:t>
      </w:r>
      <w:r w:rsidR="000922DA" w:rsidRPr="00EF2AD7">
        <w:rPr>
          <w:lang w:val="en-GB"/>
        </w:rPr>
        <w:t xml:space="preserve"> distance is less than </w:t>
      </w:r>
      <w:r w:rsidR="000922DA">
        <w:rPr>
          <w:lang w:val="en-GB"/>
        </w:rPr>
        <w:t>7</w:t>
      </w:r>
      <w:r w:rsidR="000922DA" w:rsidRPr="00EF2AD7">
        <w:rPr>
          <w:lang w:val="en-GB"/>
        </w:rPr>
        <w:t>0km</w:t>
      </w:r>
      <w:r w:rsidR="000922DA">
        <w:rPr>
          <w:lang w:val="en-GB"/>
        </w:rPr>
        <w:t xml:space="preserve"> and could be used for UL </w:t>
      </w:r>
      <w:r w:rsidR="002E6D11">
        <w:rPr>
          <w:lang w:val="en-GB"/>
        </w:rPr>
        <w:t xml:space="preserve">when </w:t>
      </w:r>
      <w:r w:rsidR="002E6D11" w:rsidRPr="00EF2AD7">
        <w:rPr>
          <w:lang w:val="en-GB"/>
        </w:rPr>
        <w:t xml:space="preserve">distance is less than </w:t>
      </w:r>
      <w:r w:rsidR="002E6D11">
        <w:rPr>
          <w:lang w:val="en-GB"/>
        </w:rPr>
        <w:t>5</w:t>
      </w:r>
      <w:r w:rsidR="002E6D11" w:rsidRPr="00EF2AD7">
        <w:rPr>
          <w:lang w:val="en-GB"/>
        </w:rPr>
        <w:t>0km</w:t>
      </w:r>
      <w:r w:rsidR="002E6D11">
        <w:rPr>
          <w:lang w:val="en-GB"/>
        </w:rPr>
        <w:t xml:space="preserve">. </w:t>
      </w:r>
      <w:r w:rsidR="00EB22EA">
        <w:rPr>
          <w:lang w:val="en-GB"/>
        </w:rPr>
        <w:t xml:space="preserve">But </w:t>
      </w:r>
      <w:r w:rsidR="003E1834">
        <w:rPr>
          <w:lang w:val="en-GB"/>
        </w:rPr>
        <w:t xml:space="preserve">CBW could less than 100MHz, i.e., 40MHz, then the </w:t>
      </w:r>
      <w:r w:rsidR="00437E96">
        <w:rPr>
          <w:lang w:val="en-GB"/>
        </w:rPr>
        <w:t xml:space="preserve">applicable distance could be extended to </w:t>
      </w:r>
      <w:r w:rsidR="00BE78FB">
        <w:rPr>
          <w:lang w:val="en-GB"/>
        </w:rPr>
        <w:t xml:space="preserve">100km </w:t>
      </w:r>
      <w:r w:rsidR="00815B4B">
        <w:rPr>
          <w:lang w:val="en-GB"/>
        </w:rPr>
        <w:t xml:space="preserve">for DL and 80km for UL. </w:t>
      </w:r>
    </w:p>
    <w:p w14:paraId="1F5860F9" w14:textId="77777777" w:rsidR="00AB72F6" w:rsidRDefault="00AB72F6" w:rsidP="006B5DD1">
      <w:pPr>
        <w:rPr>
          <w:lang w:val="en-GB" w:eastAsia="en-US"/>
        </w:rPr>
      </w:pPr>
    </w:p>
    <w:p w14:paraId="556C967C" w14:textId="70ED4E36" w:rsidR="006A2E0F" w:rsidRDefault="006A2E0F" w:rsidP="006B5DD1">
      <w:pPr>
        <w:rPr>
          <w:lang w:val="en-GB" w:eastAsia="en-US"/>
        </w:rPr>
      </w:pPr>
      <w:r>
        <w:rPr>
          <w:lang w:val="en-GB" w:eastAsia="en-US"/>
        </w:rPr>
        <w:t>Normally, 256QAM MCS</w:t>
      </w:r>
      <w:r w:rsidR="009F7200">
        <w:rPr>
          <w:lang w:val="en-GB" w:eastAsia="en-US"/>
        </w:rPr>
        <w:t>22 could have higher peak throughput than 64QAM MCS</w:t>
      </w:r>
      <w:r w:rsidR="00C703D5">
        <w:rPr>
          <w:lang w:val="en-GB" w:eastAsia="en-US"/>
        </w:rPr>
        <w:t>28 under same CBW</w:t>
      </w:r>
      <w:r w:rsidR="00285011">
        <w:rPr>
          <w:lang w:val="en-GB" w:eastAsia="en-US"/>
        </w:rPr>
        <w:t xml:space="preserve"> and its operating SNR could be ~22dB, </w:t>
      </w:r>
      <w:r w:rsidR="004352BD">
        <w:rPr>
          <w:lang w:val="en-GB" w:eastAsia="en-US"/>
        </w:rPr>
        <w:t xml:space="preserve">but the link budget still show </w:t>
      </w:r>
      <w:r w:rsidR="002870B3">
        <w:rPr>
          <w:lang w:val="en-GB" w:eastAsia="en-US"/>
        </w:rPr>
        <w:t xml:space="preserve">enough margin for it especially for FDD deployment. </w:t>
      </w:r>
      <w:r w:rsidR="0078078F">
        <w:rPr>
          <w:lang w:val="en-GB" w:eastAsia="en-US"/>
        </w:rPr>
        <w:t xml:space="preserve">From the requirement perspective, it is </w:t>
      </w:r>
      <w:r w:rsidR="00B43725">
        <w:rPr>
          <w:lang w:val="en-GB" w:eastAsia="en-US"/>
        </w:rPr>
        <w:t>necessary</w:t>
      </w:r>
      <w:r w:rsidR="0029428E">
        <w:rPr>
          <w:lang w:val="en-GB" w:eastAsia="en-US"/>
        </w:rPr>
        <w:t xml:space="preserve"> to introduce 256QAM requirement</w:t>
      </w:r>
      <w:r w:rsidR="00B43725">
        <w:rPr>
          <w:lang w:val="en-GB" w:eastAsia="en-US"/>
        </w:rPr>
        <w:t xml:space="preserve">s </w:t>
      </w:r>
      <w:r w:rsidR="00C8378D">
        <w:rPr>
          <w:lang w:val="en-GB" w:eastAsia="en-US"/>
        </w:rPr>
        <w:t xml:space="preserve">since </w:t>
      </w:r>
      <w:r w:rsidR="006B5EAB">
        <w:rPr>
          <w:lang w:val="en-GB" w:eastAsia="en-US"/>
        </w:rPr>
        <w:t xml:space="preserve">it can be used by the </w:t>
      </w:r>
      <w:r w:rsidR="00E174D6">
        <w:rPr>
          <w:lang w:val="en-GB" w:eastAsia="en-US"/>
        </w:rPr>
        <w:t>ATG scenario.</w:t>
      </w:r>
      <w:r w:rsidR="00552B01">
        <w:rPr>
          <w:lang w:val="en-GB" w:eastAsia="en-US"/>
        </w:rPr>
        <w:t xml:space="preserve"> </w:t>
      </w:r>
    </w:p>
    <w:p w14:paraId="56815C00" w14:textId="39402EC9" w:rsidR="006B5DD1" w:rsidRDefault="006B5DD1" w:rsidP="006B5DD1">
      <w:pPr>
        <w:pStyle w:val="Observation"/>
      </w:pPr>
      <w:bookmarkStart w:id="15" w:name="_Toc134695632"/>
      <w:r>
        <w:t xml:space="preserve">There </w:t>
      </w:r>
      <w:r w:rsidR="00E428F7">
        <w:t>are</w:t>
      </w:r>
      <w:r>
        <w:t xml:space="preserve"> </w:t>
      </w:r>
      <w:r w:rsidR="00253679">
        <w:t>obvious</w:t>
      </w:r>
      <w:r>
        <w:t xml:space="preserve"> margin</w:t>
      </w:r>
      <w:r w:rsidR="00E428F7">
        <w:t>s</w:t>
      </w:r>
      <w:r>
        <w:t xml:space="preserve"> in link budget to support 256QAM in ATG scenario.</w:t>
      </w:r>
      <w:bookmarkEnd w:id="15"/>
      <w:r>
        <w:t xml:space="preserve"> </w:t>
      </w:r>
    </w:p>
    <w:p w14:paraId="769AA0EC" w14:textId="5E0442F2" w:rsidR="00A802C3" w:rsidRPr="00164CDF" w:rsidRDefault="00A802C3" w:rsidP="00A802C3">
      <w:pPr>
        <w:pStyle w:val="Proposal"/>
      </w:pPr>
      <w:bookmarkStart w:id="16" w:name="_Toc135061432"/>
      <w:r>
        <w:t xml:space="preserve">Proposal 3: </w:t>
      </w:r>
      <w:r>
        <w:tab/>
        <w:t xml:space="preserve">Introduce 256QAM requirements for ATG </w:t>
      </w:r>
      <w:r w:rsidR="008173F9">
        <w:t>DL/UL demodulation.</w:t>
      </w:r>
      <w:bookmarkEnd w:id="16"/>
      <w:r w:rsidR="008173F9">
        <w:t xml:space="preserve"> </w:t>
      </w:r>
    </w:p>
    <w:p w14:paraId="155DFBDB" w14:textId="29FB3B45" w:rsidR="001D1F8A" w:rsidRPr="00C44A83" w:rsidRDefault="001D1F8A" w:rsidP="00753995">
      <w:pPr>
        <w:rPr>
          <w:rFonts w:ascii="Arial" w:hAnsi="Arial" w:cs="Arial"/>
          <w:sz w:val="20"/>
          <w:szCs w:val="20"/>
        </w:rPr>
      </w:pPr>
    </w:p>
    <w:p w14:paraId="26DF1C99" w14:textId="49E339DF" w:rsidR="00E77209" w:rsidRPr="004A659A" w:rsidRDefault="00DC4D33" w:rsidP="001521DE">
      <w:pPr>
        <w:pBdr>
          <w:bottom w:val="single" w:sz="4" w:space="1" w:color="auto"/>
        </w:pBdr>
        <w:rPr>
          <w:rFonts w:ascii="Arial" w:hAnsi="Arial" w:cs="Arial"/>
        </w:rPr>
      </w:pPr>
      <w:r>
        <w:rPr>
          <w:rFonts w:ascii="Arial" w:hAnsi="Arial" w:cs="Arial"/>
        </w:rPr>
        <w:tab/>
      </w:r>
    </w:p>
    <w:p w14:paraId="25E5A64F" w14:textId="3FA8CD92" w:rsidR="001521DE" w:rsidRPr="004A659A" w:rsidRDefault="006A5A4A" w:rsidP="00CB7875">
      <w:pPr>
        <w:pStyle w:val="Heading1"/>
        <w:keepLines w:val="0"/>
        <w:numPr>
          <w:ilvl w:val="0"/>
          <w:numId w:val="4"/>
        </w:numPr>
        <w:pBdr>
          <w:top w:val="none" w:sz="0" w:space="0" w:color="auto"/>
        </w:pBdr>
        <w:spacing w:before="0" w:after="240"/>
        <w:ind w:right="284" w:hanging="720"/>
      </w:pPr>
      <w:r w:rsidRPr="004A659A">
        <w:t>Conclusions</w:t>
      </w:r>
      <w:r w:rsidR="00DC4D33">
        <w:tab/>
      </w:r>
    </w:p>
    <w:p w14:paraId="7E749E75" w14:textId="77777777" w:rsidR="0028398A" w:rsidRPr="00C44A83" w:rsidRDefault="00D436A3"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 xml:space="preserve"> </w:t>
      </w:r>
      <w:r w:rsidR="0028398A" w:rsidRPr="00C44A83">
        <w:rPr>
          <w:rFonts w:ascii="Arial" w:eastAsiaTheme="minorHAnsi" w:hAnsi="Arial" w:cstheme="minorBidi"/>
          <w:szCs w:val="22"/>
          <w:lang w:val="en-US" w:eastAsia="zh-CN"/>
        </w:rPr>
        <w:t xml:space="preserve">In the previous sections we made the following observations: </w:t>
      </w:r>
    </w:p>
    <w:p w14:paraId="12496D90" w14:textId="3CAF35D8" w:rsidR="000552C3" w:rsidRDefault="0028398A">
      <w:pPr>
        <w:pStyle w:val="TableofFigures"/>
        <w:tabs>
          <w:tab w:val="right" w:leader="dot" w:pos="9350"/>
        </w:tabs>
        <w:rPr>
          <w:rFonts w:asciiTheme="minorHAnsi" w:eastAsiaTheme="minorEastAsia" w:hAnsiTheme="minorHAnsi"/>
          <w:b w:val="0"/>
          <w:noProof/>
          <w:sz w:val="22"/>
        </w:rPr>
      </w:pPr>
      <w:r>
        <w:rPr>
          <w:b w:val="0"/>
          <w:bCs/>
        </w:rPr>
        <w:fldChar w:fldCharType="begin"/>
      </w:r>
      <w:r>
        <w:rPr>
          <w:b w:val="0"/>
          <w:bCs/>
        </w:rPr>
        <w:instrText xml:space="preserve"> TOC \f O \n \h \z \t "Observation" \c </w:instrText>
      </w:r>
      <w:r>
        <w:rPr>
          <w:b w:val="0"/>
          <w:bCs/>
        </w:rPr>
        <w:fldChar w:fldCharType="separate"/>
      </w:r>
      <w:hyperlink w:anchor="_Toc134695629" w:history="1">
        <w:r w:rsidR="000552C3" w:rsidRPr="009E4E41">
          <w:rPr>
            <w:rStyle w:val="Hyperlink"/>
            <w:noProof/>
          </w:rPr>
          <w:t>Observation 1</w:t>
        </w:r>
        <w:r w:rsidR="000552C3">
          <w:rPr>
            <w:rFonts w:asciiTheme="minorHAnsi" w:eastAsiaTheme="minorEastAsia" w:hAnsiTheme="minorHAnsi"/>
            <w:b w:val="0"/>
            <w:noProof/>
            <w:sz w:val="22"/>
          </w:rPr>
          <w:tab/>
        </w:r>
        <w:r w:rsidR="000552C3" w:rsidRPr="009E4E41">
          <w:rPr>
            <w:rStyle w:val="Hyperlink"/>
            <w:noProof/>
          </w:rPr>
          <w:t>It seems not possible to avoid co-existing interference caused by new TDD pattern in real network.</w:t>
        </w:r>
      </w:hyperlink>
    </w:p>
    <w:p w14:paraId="25FCD972" w14:textId="3C3CB539" w:rsidR="000552C3" w:rsidRDefault="00000000">
      <w:pPr>
        <w:pStyle w:val="TableofFigures"/>
        <w:tabs>
          <w:tab w:val="right" w:leader="dot" w:pos="9350"/>
        </w:tabs>
        <w:rPr>
          <w:rFonts w:asciiTheme="minorHAnsi" w:eastAsiaTheme="minorEastAsia" w:hAnsiTheme="minorHAnsi"/>
          <w:b w:val="0"/>
          <w:noProof/>
          <w:sz w:val="22"/>
        </w:rPr>
      </w:pPr>
      <w:hyperlink w:anchor="_Toc134695630" w:history="1">
        <w:r w:rsidR="000552C3" w:rsidRPr="009E4E41">
          <w:rPr>
            <w:rStyle w:val="Hyperlink"/>
            <w:noProof/>
          </w:rPr>
          <w:t>Observation 2</w:t>
        </w:r>
        <w:r w:rsidR="000552C3">
          <w:rPr>
            <w:rFonts w:asciiTheme="minorHAnsi" w:eastAsiaTheme="minorEastAsia" w:hAnsiTheme="minorHAnsi"/>
            <w:b w:val="0"/>
            <w:noProof/>
            <w:sz w:val="22"/>
          </w:rPr>
          <w:tab/>
        </w:r>
        <w:r w:rsidR="000552C3" w:rsidRPr="009E4E41">
          <w:rPr>
            <w:rStyle w:val="Hyperlink"/>
            <w:noProof/>
          </w:rPr>
          <w:t>New UE capability of support Rel-17 RRC parameters is needed to support new TDD pattern.</w:t>
        </w:r>
      </w:hyperlink>
    </w:p>
    <w:p w14:paraId="702EC3BA" w14:textId="484F0EEB" w:rsidR="000552C3" w:rsidRDefault="00000000">
      <w:pPr>
        <w:pStyle w:val="TableofFigures"/>
        <w:tabs>
          <w:tab w:val="right" w:leader="dot" w:pos="9350"/>
        </w:tabs>
        <w:rPr>
          <w:rFonts w:asciiTheme="minorHAnsi" w:eastAsiaTheme="minorEastAsia" w:hAnsiTheme="minorHAnsi"/>
          <w:b w:val="0"/>
          <w:noProof/>
          <w:sz w:val="22"/>
        </w:rPr>
      </w:pPr>
      <w:hyperlink w:anchor="_Toc134695631" w:history="1">
        <w:r w:rsidR="000552C3" w:rsidRPr="009E4E41">
          <w:rPr>
            <w:rStyle w:val="Hyperlink"/>
            <w:noProof/>
          </w:rPr>
          <w:t>Observation 3</w:t>
        </w:r>
        <w:r w:rsidR="000552C3">
          <w:rPr>
            <w:rFonts w:asciiTheme="minorHAnsi" w:eastAsiaTheme="minorEastAsia" w:hAnsiTheme="minorHAnsi"/>
            <w:b w:val="0"/>
            <w:noProof/>
            <w:sz w:val="22"/>
          </w:rPr>
          <w:tab/>
        </w:r>
        <w:r w:rsidR="000552C3" w:rsidRPr="009E4E41">
          <w:rPr>
            <w:rStyle w:val="Hyperlink"/>
            <w:noProof/>
          </w:rPr>
          <w:t>If only depending on new TDD pattern to solve guard period issue, an ATG UE might need to support different TDD patterns used by different ATG networks which will increase the complexity of implementation.</w:t>
        </w:r>
      </w:hyperlink>
    </w:p>
    <w:p w14:paraId="4D17A431" w14:textId="329BCC1C" w:rsidR="000552C3" w:rsidRDefault="00000000">
      <w:pPr>
        <w:pStyle w:val="TableofFigures"/>
        <w:tabs>
          <w:tab w:val="right" w:leader="dot" w:pos="9350"/>
        </w:tabs>
        <w:rPr>
          <w:rFonts w:asciiTheme="minorHAnsi" w:eastAsiaTheme="minorEastAsia" w:hAnsiTheme="minorHAnsi"/>
          <w:b w:val="0"/>
          <w:noProof/>
          <w:sz w:val="22"/>
        </w:rPr>
      </w:pPr>
      <w:hyperlink w:anchor="_Toc134695632" w:history="1">
        <w:r w:rsidR="000552C3" w:rsidRPr="009E4E41">
          <w:rPr>
            <w:rStyle w:val="Hyperlink"/>
            <w:noProof/>
          </w:rPr>
          <w:t>Observation 4</w:t>
        </w:r>
        <w:r w:rsidR="000552C3">
          <w:rPr>
            <w:rFonts w:asciiTheme="minorHAnsi" w:eastAsiaTheme="minorEastAsia" w:hAnsiTheme="minorHAnsi"/>
            <w:b w:val="0"/>
            <w:noProof/>
            <w:sz w:val="22"/>
          </w:rPr>
          <w:tab/>
        </w:r>
        <w:r w:rsidR="000552C3" w:rsidRPr="009E4E41">
          <w:rPr>
            <w:rStyle w:val="Hyperlink"/>
            <w:noProof/>
          </w:rPr>
          <w:t>There are obvious margins in link budget to support 256QAM in ATG scenario.</w:t>
        </w:r>
      </w:hyperlink>
    </w:p>
    <w:p w14:paraId="5C166ED4" w14:textId="1F02BBC0" w:rsidR="0028398A" w:rsidRDefault="0028398A" w:rsidP="0028398A">
      <w:pPr>
        <w:pStyle w:val="BodyText"/>
        <w:rPr>
          <w:b/>
          <w:bCs/>
        </w:rPr>
      </w:pPr>
      <w:r>
        <w:rPr>
          <w:b/>
          <w:bCs/>
        </w:rPr>
        <w:fldChar w:fldCharType="end"/>
      </w:r>
    </w:p>
    <w:p w14:paraId="63A6B4EC" w14:textId="77777777" w:rsidR="0028398A" w:rsidRPr="00C44A83" w:rsidRDefault="0028398A"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Based on the discussion in the previous sections we propose the following:</w:t>
      </w:r>
    </w:p>
    <w:p w14:paraId="68E9DABE" w14:textId="12FA3632" w:rsidR="0062006B" w:rsidRDefault="0028398A">
      <w:pPr>
        <w:pStyle w:val="TableofFigures"/>
        <w:tabs>
          <w:tab w:val="right" w:leader="dot" w:pos="9350"/>
        </w:tabs>
        <w:rPr>
          <w:rFonts w:asciiTheme="minorHAnsi" w:eastAsiaTheme="minorEastAsia" w:hAnsiTheme="minorHAnsi"/>
          <w:b w:val="0"/>
          <w:noProof/>
          <w:sz w:val="22"/>
        </w:rPr>
      </w:pPr>
      <w:r>
        <w:rPr>
          <w:b w:val="0"/>
          <w:bCs/>
        </w:rPr>
        <w:fldChar w:fldCharType="begin"/>
      </w:r>
      <w:r>
        <w:rPr>
          <w:b w:val="0"/>
          <w:bCs/>
        </w:rPr>
        <w:instrText xml:space="preserve"> TOC \n \h \z \t "Proposal" \c </w:instrText>
      </w:r>
      <w:r>
        <w:rPr>
          <w:b w:val="0"/>
          <w:bCs/>
        </w:rPr>
        <w:fldChar w:fldCharType="separate"/>
      </w:r>
      <w:hyperlink w:anchor="_Toc135061428" w:history="1">
        <w:r w:rsidR="0062006B" w:rsidRPr="007A2833">
          <w:rPr>
            <w:rStyle w:val="Hyperlink"/>
            <w:noProof/>
            <w:lang w:val="en-GB" w:eastAsia="en-US"/>
          </w:rPr>
          <w:t>Proposal 1: Take following Doppler shift for ATG channel.</w:t>
        </w:r>
      </w:hyperlink>
    </w:p>
    <w:p w14:paraId="6E79A2AE" w14:textId="5A47816E" w:rsidR="0062006B" w:rsidRDefault="0062006B">
      <w:pPr>
        <w:pStyle w:val="TableofFigures"/>
        <w:tabs>
          <w:tab w:val="right" w:leader="dot" w:pos="9350"/>
        </w:tabs>
        <w:rPr>
          <w:rFonts w:asciiTheme="minorHAnsi" w:eastAsiaTheme="minorEastAsia" w:hAnsiTheme="minorHAnsi"/>
          <w:b w:val="0"/>
          <w:noProof/>
          <w:sz w:val="22"/>
        </w:rPr>
      </w:pPr>
      <w:hyperlink w:anchor="_Toc135061429" w:history="1">
        <w:r w:rsidRPr="007A2833">
          <w:rPr>
            <w:rStyle w:val="Hyperlink"/>
            <w:rFonts w:ascii="Symbol" w:hAnsi="Symbol"/>
            <w:noProof/>
            <w:lang w:val="en-GB" w:eastAsia="en-US"/>
          </w:rPr>
          <w:t></w:t>
        </w:r>
        <w:r>
          <w:rPr>
            <w:rFonts w:asciiTheme="minorHAnsi" w:eastAsiaTheme="minorEastAsia" w:hAnsiTheme="minorHAnsi"/>
            <w:b w:val="0"/>
            <w:noProof/>
            <w:sz w:val="22"/>
          </w:rPr>
          <w:tab/>
        </w:r>
        <w:r w:rsidRPr="007A2833">
          <w:rPr>
            <w:rStyle w:val="Hyperlink"/>
            <w:noProof/>
            <w:lang w:val="en-GB" w:eastAsia="en-US"/>
          </w:rPr>
          <w:t>FDD: 220Hz for both UL and DL</w:t>
        </w:r>
      </w:hyperlink>
    </w:p>
    <w:p w14:paraId="4B62F07C" w14:textId="3E5C2B68" w:rsidR="0062006B" w:rsidRDefault="0062006B">
      <w:pPr>
        <w:pStyle w:val="TableofFigures"/>
        <w:tabs>
          <w:tab w:val="right" w:leader="dot" w:pos="9350"/>
        </w:tabs>
        <w:rPr>
          <w:rFonts w:asciiTheme="minorHAnsi" w:eastAsiaTheme="minorEastAsia" w:hAnsiTheme="minorHAnsi"/>
          <w:b w:val="0"/>
          <w:noProof/>
          <w:sz w:val="22"/>
        </w:rPr>
      </w:pPr>
      <w:hyperlink w:anchor="_Toc135061430" w:history="1">
        <w:r w:rsidRPr="007A2833">
          <w:rPr>
            <w:rStyle w:val="Hyperlink"/>
            <w:rFonts w:ascii="Symbol" w:hAnsi="Symbol"/>
            <w:noProof/>
            <w:lang w:val="en-GB" w:eastAsia="en-US"/>
          </w:rPr>
          <w:t></w:t>
        </w:r>
        <w:r>
          <w:rPr>
            <w:rFonts w:asciiTheme="minorHAnsi" w:eastAsiaTheme="minorEastAsia" w:hAnsiTheme="minorHAnsi"/>
            <w:b w:val="0"/>
            <w:noProof/>
            <w:sz w:val="22"/>
          </w:rPr>
          <w:tab/>
        </w:r>
        <w:r w:rsidRPr="007A2833">
          <w:rPr>
            <w:rStyle w:val="Hyperlink"/>
            <w:noProof/>
            <w:lang w:val="en-GB" w:eastAsia="en-US"/>
          </w:rPr>
          <w:t>TDD: 500Hz for both UL and DL</w:t>
        </w:r>
      </w:hyperlink>
    </w:p>
    <w:p w14:paraId="2DB0A7E1" w14:textId="44ED117A" w:rsidR="0062006B" w:rsidRDefault="0062006B">
      <w:pPr>
        <w:pStyle w:val="TableofFigures"/>
        <w:tabs>
          <w:tab w:val="right" w:leader="dot" w:pos="9350"/>
        </w:tabs>
        <w:rPr>
          <w:rFonts w:asciiTheme="minorHAnsi" w:eastAsiaTheme="minorEastAsia" w:hAnsiTheme="minorHAnsi"/>
          <w:b w:val="0"/>
          <w:noProof/>
          <w:sz w:val="22"/>
        </w:rPr>
      </w:pPr>
      <w:hyperlink w:anchor="_Toc135061431" w:history="1">
        <w:r w:rsidRPr="007A2833">
          <w:rPr>
            <w:rStyle w:val="Hyperlink"/>
            <w:noProof/>
          </w:rPr>
          <w:t>Proposal 2: RAN4 to discuss a generic method to mitigate the guard period impact to let ATG UE can support different deployment networks.</w:t>
        </w:r>
      </w:hyperlink>
    </w:p>
    <w:p w14:paraId="6D252C9D" w14:textId="657FBC30" w:rsidR="0062006B" w:rsidRDefault="0062006B">
      <w:pPr>
        <w:pStyle w:val="TableofFigures"/>
        <w:tabs>
          <w:tab w:val="right" w:leader="dot" w:pos="9350"/>
        </w:tabs>
        <w:rPr>
          <w:rFonts w:asciiTheme="minorHAnsi" w:eastAsiaTheme="minorEastAsia" w:hAnsiTheme="minorHAnsi"/>
          <w:b w:val="0"/>
          <w:noProof/>
          <w:sz w:val="22"/>
        </w:rPr>
      </w:pPr>
      <w:hyperlink w:anchor="_Toc135061432" w:history="1">
        <w:r w:rsidRPr="007A2833">
          <w:rPr>
            <w:rStyle w:val="Hyperlink"/>
            <w:noProof/>
          </w:rPr>
          <w:t xml:space="preserve">Proposal 3: </w:t>
        </w:r>
        <w:r>
          <w:rPr>
            <w:rFonts w:asciiTheme="minorHAnsi" w:eastAsiaTheme="minorEastAsia" w:hAnsiTheme="minorHAnsi"/>
            <w:b w:val="0"/>
            <w:noProof/>
            <w:sz w:val="22"/>
          </w:rPr>
          <w:tab/>
        </w:r>
        <w:r w:rsidRPr="007A2833">
          <w:rPr>
            <w:rStyle w:val="Hyperlink"/>
            <w:noProof/>
          </w:rPr>
          <w:t>Introduce 256QAM requirements for ATG DL/UL demodulation.</w:t>
        </w:r>
      </w:hyperlink>
    </w:p>
    <w:p w14:paraId="0A0689FD" w14:textId="462D86FC" w:rsidR="00635F1D" w:rsidRPr="00662DE5" w:rsidRDefault="0028398A" w:rsidP="00635F1D">
      <w:pPr>
        <w:rPr>
          <w:rFonts w:ascii="Arial" w:hAnsi="Arial" w:cs="Arial"/>
          <w:b/>
          <w:sz w:val="20"/>
          <w:szCs w:val="20"/>
          <w:lang w:val="en-GB" w:eastAsia="en-US"/>
        </w:rPr>
      </w:pPr>
      <w:r>
        <w:rPr>
          <w:b/>
          <w:bCs/>
        </w:rPr>
        <w:fldChar w:fldCharType="end"/>
      </w:r>
      <w:r w:rsidR="00635F1D" w:rsidRPr="00662DE5">
        <w:rPr>
          <w:rFonts w:ascii="Arial" w:hAnsi="Arial" w:cs="Arial"/>
          <w:b/>
          <w:bCs/>
          <w:sz w:val="20"/>
          <w:szCs w:val="20"/>
          <w:lang w:val="en-GB" w:eastAsia="en-US"/>
        </w:rPr>
        <w:t xml:space="preserve">  </w:t>
      </w:r>
    </w:p>
    <w:p w14:paraId="4EA7A86F" w14:textId="77777777" w:rsidR="00905BE0" w:rsidRPr="00662DE5" w:rsidRDefault="00905BE0" w:rsidP="00133CFE">
      <w:pPr>
        <w:pBdr>
          <w:bottom w:val="single" w:sz="4" w:space="1" w:color="auto"/>
        </w:pBdr>
        <w:rPr>
          <w:rFonts w:ascii="Arial" w:hAnsi="Arial" w:cs="Arial"/>
          <w:sz w:val="20"/>
          <w:szCs w:val="20"/>
        </w:rPr>
      </w:pPr>
    </w:p>
    <w:p w14:paraId="4D05BFAD" w14:textId="6455AC9B" w:rsidR="00133CFE" w:rsidRPr="004A659A" w:rsidRDefault="00133CFE" w:rsidP="00CB7875">
      <w:pPr>
        <w:pStyle w:val="Heading1"/>
        <w:keepLines w:val="0"/>
        <w:numPr>
          <w:ilvl w:val="0"/>
          <w:numId w:val="4"/>
        </w:numPr>
        <w:pBdr>
          <w:top w:val="none" w:sz="0" w:space="0" w:color="auto"/>
        </w:pBdr>
        <w:spacing w:before="0" w:after="240"/>
        <w:ind w:right="284" w:hanging="720"/>
      </w:pPr>
      <w:r w:rsidRPr="004A659A">
        <w:t>References</w:t>
      </w:r>
    </w:p>
    <w:p w14:paraId="1C33217A" w14:textId="74CD5E7F" w:rsidR="00E7791B" w:rsidRDefault="002338CD" w:rsidP="00F20E27">
      <w:pPr>
        <w:ind w:left="720" w:hanging="720"/>
        <w:rPr>
          <w:sz w:val="20"/>
          <w:szCs w:val="20"/>
        </w:rPr>
      </w:pPr>
      <w:r w:rsidRPr="00662DE5">
        <w:rPr>
          <w:sz w:val="20"/>
          <w:szCs w:val="20"/>
        </w:rPr>
        <w:t>[1]</w:t>
      </w:r>
      <w:r w:rsidRPr="00662DE5">
        <w:rPr>
          <w:sz w:val="20"/>
          <w:szCs w:val="20"/>
        </w:rPr>
        <w:tab/>
      </w:r>
      <w:r w:rsidR="00744D48" w:rsidRPr="000D7700">
        <w:rPr>
          <w:sz w:val="20"/>
          <w:szCs w:val="20"/>
        </w:rPr>
        <w:t>R4-2</w:t>
      </w:r>
      <w:r w:rsidR="0008690A" w:rsidRPr="000D7700">
        <w:rPr>
          <w:sz w:val="20"/>
          <w:szCs w:val="20"/>
        </w:rPr>
        <w:t>3</w:t>
      </w:r>
      <w:r w:rsidR="000D7700" w:rsidRPr="000D7700">
        <w:rPr>
          <w:sz w:val="20"/>
          <w:szCs w:val="20"/>
        </w:rPr>
        <w:t>0</w:t>
      </w:r>
      <w:r w:rsidR="004D70C7">
        <w:rPr>
          <w:sz w:val="20"/>
          <w:szCs w:val="20"/>
        </w:rPr>
        <w:t>5899</w:t>
      </w:r>
      <w:r w:rsidR="00744D48" w:rsidRPr="000D7700">
        <w:rPr>
          <w:sz w:val="20"/>
          <w:szCs w:val="20"/>
        </w:rPr>
        <w:t xml:space="preserve">, </w:t>
      </w:r>
      <w:r w:rsidR="00D44468" w:rsidRPr="000D7700">
        <w:rPr>
          <w:sz w:val="20"/>
          <w:szCs w:val="20"/>
        </w:rPr>
        <w:t xml:space="preserve">WF on NR ATG </w:t>
      </w:r>
      <w:proofErr w:type="spellStart"/>
      <w:r w:rsidR="0008690A" w:rsidRPr="000D7700">
        <w:rPr>
          <w:sz w:val="20"/>
          <w:szCs w:val="20"/>
        </w:rPr>
        <w:t>Demod</w:t>
      </w:r>
      <w:proofErr w:type="spellEnd"/>
      <w:r w:rsidR="00D44468" w:rsidRPr="000D7700">
        <w:rPr>
          <w:sz w:val="20"/>
          <w:szCs w:val="20"/>
        </w:rPr>
        <w:t>, CMCC</w:t>
      </w:r>
    </w:p>
    <w:p w14:paraId="05AF3649" w14:textId="0FBC6089" w:rsidR="00C01A95" w:rsidRDefault="00C01A95" w:rsidP="00F20E27">
      <w:pPr>
        <w:ind w:left="720" w:hanging="720"/>
        <w:rPr>
          <w:sz w:val="20"/>
          <w:szCs w:val="20"/>
        </w:rPr>
      </w:pPr>
      <w:r>
        <w:rPr>
          <w:sz w:val="20"/>
          <w:szCs w:val="20"/>
        </w:rPr>
        <w:t xml:space="preserve">[2] </w:t>
      </w:r>
      <w:r>
        <w:rPr>
          <w:sz w:val="20"/>
          <w:szCs w:val="20"/>
        </w:rPr>
        <w:tab/>
        <w:t>R4-22</w:t>
      </w:r>
      <w:r w:rsidR="00AA2959">
        <w:rPr>
          <w:sz w:val="20"/>
          <w:szCs w:val="20"/>
        </w:rPr>
        <w:t>12617</w:t>
      </w:r>
      <w:r>
        <w:rPr>
          <w:sz w:val="20"/>
          <w:szCs w:val="20"/>
        </w:rPr>
        <w:t>, ATG link budget, Ericsson</w:t>
      </w:r>
    </w:p>
    <w:p w14:paraId="4FEE209B" w14:textId="454DEB17" w:rsidR="00E33924" w:rsidRDefault="00E33924" w:rsidP="00F20E27">
      <w:pPr>
        <w:ind w:left="720" w:hanging="720"/>
        <w:rPr>
          <w:sz w:val="20"/>
          <w:szCs w:val="20"/>
        </w:rPr>
      </w:pPr>
      <w:r>
        <w:rPr>
          <w:sz w:val="20"/>
          <w:szCs w:val="20"/>
        </w:rPr>
        <w:t>[3]</w:t>
      </w:r>
      <w:r>
        <w:rPr>
          <w:sz w:val="20"/>
          <w:szCs w:val="20"/>
        </w:rPr>
        <w:tab/>
      </w:r>
      <w:r w:rsidR="002A22DE">
        <w:rPr>
          <w:sz w:val="20"/>
          <w:szCs w:val="20"/>
        </w:rPr>
        <w:t xml:space="preserve">R4-2304834, </w:t>
      </w:r>
      <w:r w:rsidR="003A0328">
        <w:rPr>
          <w:sz w:val="20"/>
          <w:szCs w:val="20"/>
        </w:rPr>
        <w:t>On timing requirements in ATG, Ericsson</w:t>
      </w:r>
    </w:p>
    <w:p w14:paraId="17919BB1" w14:textId="5EB4DA0D" w:rsidR="00C01A95" w:rsidRDefault="00C01A95" w:rsidP="00F20E27">
      <w:pPr>
        <w:ind w:left="720" w:hanging="720"/>
        <w:rPr>
          <w:sz w:val="20"/>
          <w:szCs w:val="20"/>
        </w:rPr>
      </w:pPr>
      <w:r>
        <w:rPr>
          <w:sz w:val="20"/>
          <w:szCs w:val="20"/>
        </w:rPr>
        <w:t>[</w:t>
      </w:r>
      <w:r w:rsidR="00E33924">
        <w:rPr>
          <w:sz w:val="20"/>
          <w:szCs w:val="20"/>
        </w:rPr>
        <w:t>4</w:t>
      </w:r>
      <w:r>
        <w:rPr>
          <w:sz w:val="20"/>
          <w:szCs w:val="20"/>
        </w:rPr>
        <w:t>]</w:t>
      </w:r>
      <w:r>
        <w:rPr>
          <w:sz w:val="20"/>
          <w:szCs w:val="20"/>
        </w:rPr>
        <w:tab/>
        <w:t>TS38.876, v</w:t>
      </w:r>
      <w:r w:rsidR="007024BF">
        <w:rPr>
          <w:sz w:val="20"/>
          <w:szCs w:val="20"/>
        </w:rPr>
        <w:t>0</w:t>
      </w:r>
      <w:r>
        <w:rPr>
          <w:sz w:val="20"/>
          <w:szCs w:val="20"/>
        </w:rPr>
        <w:t>.2.0</w:t>
      </w:r>
    </w:p>
    <w:p w14:paraId="0C6ADE2A" w14:textId="7650D59E" w:rsidR="00C01A95" w:rsidRDefault="00C01A95" w:rsidP="00F20E27">
      <w:pPr>
        <w:ind w:left="720" w:hanging="720"/>
        <w:rPr>
          <w:sz w:val="20"/>
          <w:szCs w:val="20"/>
        </w:rPr>
      </w:pPr>
      <w:r>
        <w:rPr>
          <w:sz w:val="20"/>
          <w:szCs w:val="20"/>
        </w:rPr>
        <w:t>[</w:t>
      </w:r>
      <w:r w:rsidR="00E33924">
        <w:rPr>
          <w:sz w:val="20"/>
          <w:szCs w:val="20"/>
        </w:rPr>
        <w:t>5</w:t>
      </w:r>
      <w:r>
        <w:rPr>
          <w:sz w:val="20"/>
          <w:szCs w:val="20"/>
        </w:rPr>
        <w:t>]</w:t>
      </w:r>
      <w:r>
        <w:rPr>
          <w:sz w:val="20"/>
          <w:szCs w:val="20"/>
        </w:rPr>
        <w:tab/>
      </w:r>
      <w:r w:rsidRPr="00284F4D">
        <w:rPr>
          <w:sz w:val="20"/>
          <w:szCs w:val="20"/>
        </w:rPr>
        <w:t>R4-23</w:t>
      </w:r>
      <w:r w:rsidR="00284F4D" w:rsidRPr="00284F4D">
        <w:rPr>
          <w:sz w:val="20"/>
          <w:szCs w:val="20"/>
        </w:rPr>
        <w:t>07835</w:t>
      </w:r>
      <w:r>
        <w:rPr>
          <w:sz w:val="20"/>
          <w:szCs w:val="20"/>
        </w:rPr>
        <w:t>, Simulation results for ATG UE demodulation, Ericsson</w:t>
      </w:r>
    </w:p>
    <w:p w14:paraId="1347363A" w14:textId="291D845A" w:rsidR="00EA6968" w:rsidRDefault="00EA6968" w:rsidP="00F20E27">
      <w:pPr>
        <w:ind w:left="720" w:hanging="720"/>
        <w:rPr>
          <w:sz w:val="20"/>
          <w:szCs w:val="20"/>
        </w:rPr>
      </w:pPr>
      <w:r>
        <w:rPr>
          <w:sz w:val="20"/>
          <w:szCs w:val="20"/>
        </w:rPr>
        <w:t>[7]</w:t>
      </w:r>
      <w:r>
        <w:rPr>
          <w:sz w:val="20"/>
          <w:szCs w:val="20"/>
        </w:rPr>
        <w:tab/>
      </w:r>
      <w:r w:rsidRPr="001D3457">
        <w:rPr>
          <w:sz w:val="20"/>
          <w:szCs w:val="20"/>
        </w:rPr>
        <w:t>R4-23</w:t>
      </w:r>
      <w:r w:rsidR="001D3457" w:rsidRPr="001D3457">
        <w:rPr>
          <w:sz w:val="20"/>
          <w:szCs w:val="20"/>
        </w:rPr>
        <w:t>08533</w:t>
      </w:r>
      <w:r>
        <w:rPr>
          <w:sz w:val="20"/>
          <w:szCs w:val="20"/>
        </w:rPr>
        <w:t xml:space="preserve">, </w:t>
      </w:r>
      <w:r w:rsidR="00205644">
        <w:rPr>
          <w:sz w:val="20"/>
          <w:szCs w:val="20"/>
        </w:rPr>
        <w:t xml:space="preserve">Co-existing </w:t>
      </w:r>
      <w:r w:rsidR="00256EC1">
        <w:rPr>
          <w:sz w:val="20"/>
          <w:szCs w:val="20"/>
        </w:rPr>
        <w:t xml:space="preserve">simulation </w:t>
      </w:r>
      <w:r w:rsidR="00205644">
        <w:rPr>
          <w:sz w:val="20"/>
          <w:szCs w:val="20"/>
        </w:rPr>
        <w:t>for ATG</w:t>
      </w:r>
      <w:r w:rsidR="00583411">
        <w:rPr>
          <w:sz w:val="20"/>
          <w:szCs w:val="20"/>
        </w:rPr>
        <w:t xml:space="preserve"> </w:t>
      </w:r>
      <w:r w:rsidR="00256EC1">
        <w:rPr>
          <w:sz w:val="20"/>
          <w:szCs w:val="20"/>
        </w:rPr>
        <w:t>unsynchronized scenario</w:t>
      </w:r>
      <w:r w:rsidR="00205644">
        <w:rPr>
          <w:sz w:val="20"/>
          <w:szCs w:val="20"/>
        </w:rPr>
        <w:t>, Ericsson</w:t>
      </w:r>
    </w:p>
    <w:p w14:paraId="3A7F9DDF" w14:textId="0717F6A0" w:rsidR="004975DE" w:rsidRPr="00662DE5" w:rsidRDefault="004975DE" w:rsidP="00F20E27">
      <w:pPr>
        <w:ind w:left="720" w:hanging="720"/>
        <w:rPr>
          <w:sz w:val="20"/>
          <w:szCs w:val="20"/>
        </w:rPr>
      </w:pPr>
      <w:r>
        <w:rPr>
          <w:sz w:val="20"/>
          <w:szCs w:val="20"/>
        </w:rPr>
        <w:t>[8]</w:t>
      </w:r>
      <w:r>
        <w:rPr>
          <w:sz w:val="20"/>
          <w:szCs w:val="20"/>
        </w:rPr>
        <w:tab/>
        <w:t>TS38.331, v1</w:t>
      </w:r>
      <w:r w:rsidR="000A5117">
        <w:rPr>
          <w:sz w:val="20"/>
          <w:szCs w:val="20"/>
        </w:rPr>
        <w:t>7.4.0</w:t>
      </w:r>
    </w:p>
    <w:sectPr w:rsidR="004975DE" w:rsidRPr="00662D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53ADF"/>
    <w:multiLevelType w:val="multilevel"/>
    <w:tmpl w:val="04090021"/>
    <w:lvl w:ilvl="0">
      <w:start w:val="1"/>
      <w:numFmt w:val="bullet"/>
      <w:lvlText w:val=""/>
      <w:lvlJc w:val="left"/>
      <w:pPr>
        <w:ind w:left="108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
      <w:lvlJc w:val="left"/>
      <w:pPr>
        <w:ind w:left="2520" w:hanging="360"/>
      </w:pPr>
      <w:rPr>
        <w:rFonts w:ascii="Symbol" w:hAnsi="Symbol"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Wingdings" w:hAnsi="Wingdings" w:hint="default"/>
      </w:rPr>
    </w:lvl>
    <w:lvl w:ilvl="7">
      <w:start w:val="1"/>
      <w:numFmt w:val="bullet"/>
      <w:lvlText w:val=""/>
      <w:lvlJc w:val="left"/>
      <w:pPr>
        <w:ind w:left="3600" w:hanging="360"/>
      </w:pPr>
      <w:rPr>
        <w:rFonts w:ascii="Symbol" w:hAnsi="Symbol" w:hint="default"/>
      </w:rPr>
    </w:lvl>
    <w:lvl w:ilvl="8">
      <w:start w:val="1"/>
      <w:numFmt w:val="bullet"/>
      <w:lvlText w:val=""/>
      <w:lvlJc w:val="left"/>
      <w:pPr>
        <w:ind w:left="3960" w:hanging="360"/>
      </w:pPr>
      <w:rPr>
        <w:rFonts w:ascii="Symbol" w:hAnsi="Symbol" w:hint="default"/>
      </w:rPr>
    </w:lvl>
  </w:abstractNum>
  <w:abstractNum w:abstractNumId="1" w15:restartNumberingAfterBreak="0">
    <w:nsid w:val="013D344D"/>
    <w:multiLevelType w:val="hybridMultilevel"/>
    <w:tmpl w:val="4FBC6C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BA3273"/>
    <w:multiLevelType w:val="hybridMultilevel"/>
    <w:tmpl w:val="7C4CFA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6E0BCB"/>
    <w:multiLevelType w:val="hybridMultilevel"/>
    <w:tmpl w:val="F53231A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310729"/>
    <w:multiLevelType w:val="multilevel"/>
    <w:tmpl w:val="07310729"/>
    <w:lvl w:ilvl="0">
      <w:start w:val="1"/>
      <w:numFmt w:val="bullet"/>
      <w:lvlText w:val="o"/>
      <w:lvlJc w:val="left"/>
      <w:pPr>
        <w:ind w:left="1080" w:hanging="360"/>
      </w:pPr>
      <w:rPr>
        <w:rFonts w:ascii="Courier New" w:hAnsi="Courier New" w:cs="Courier New"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0F4A3D5B"/>
    <w:multiLevelType w:val="hybridMultilevel"/>
    <w:tmpl w:val="25383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F1698"/>
    <w:multiLevelType w:val="hybridMultilevel"/>
    <w:tmpl w:val="00DC6040"/>
    <w:lvl w:ilvl="0" w:tplc="78A864BC">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C67BF4"/>
    <w:multiLevelType w:val="hybridMultilevel"/>
    <w:tmpl w:val="F8240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841B75"/>
    <w:multiLevelType w:val="multilevel"/>
    <w:tmpl w:val="3808FC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D213D13"/>
    <w:multiLevelType w:val="hybridMultilevel"/>
    <w:tmpl w:val="66706BE8"/>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1DC66DA3"/>
    <w:multiLevelType w:val="hybridMultilevel"/>
    <w:tmpl w:val="A2588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EE6668"/>
    <w:multiLevelType w:val="hybridMultilevel"/>
    <w:tmpl w:val="C9EC1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4D74B1"/>
    <w:multiLevelType w:val="hybridMultilevel"/>
    <w:tmpl w:val="1CA68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416599"/>
    <w:multiLevelType w:val="hybridMultilevel"/>
    <w:tmpl w:val="AC829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E3076F"/>
    <w:multiLevelType w:val="hybridMultilevel"/>
    <w:tmpl w:val="239206A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D740878"/>
    <w:multiLevelType w:val="hybridMultilevel"/>
    <w:tmpl w:val="367E0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E76635"/>
    <w:multiLevelType w:val="hybridMultilevel"/>
    <w:tmpl w:val="26920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93F6563"/>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9" w15:restartNumberingAfterBreak="0">
    <w:nsid w:val="3AA46647"/>
    <w:multiLevelType w:val="hybridMultilevel"/>
    <w:tmpl w:val="3FF4D87E"/>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62513F"/>
    <w:multiLevelType w:val="hybridMultilevel"/>
    <w:tmpl w:val="355EB05E"/>
    <w:lvl w:ilvl="0" w:tplc="0409000F">
      <w:start w:val="1"/>
      <w:numFmt w:val="decimal"/>
      <w:lvlText w:val="%1."/>
      <w:lvlJc w:val="left"/>
      <w:pPr>
        <w:ind w:left="993" w:hanging="360"/>
      </w:pPr>
    </w:lvl>
    <w:lvl w:ilvl="1" w:tplc="04090019" w:tentative="1">
      <w:start w:val="1"/>
      <w:numFmt w:val="lowerLetter"/>
      <w:lvlText w:val="%2."/>
      <w:lvlJc w:val="left"/>
      <w:pPr>
        <w:ind w:left="1713" w:hanging="360"/>
      </w:pPr>
    </w:lvl>
    <w:lvl w:ilvl="2" w:tplc="0409001B" w:tentative="1">
      <w:start w:val="1"/>
      <w:numFmt w:val="lowerRoman"/>
      <w:lvlText w:val="%3."/>
      <w:lvlJc w:val="right"/>
      <w:pPr>
        <w:ind w:left="2433" w:hanging="180"/>
      </w:pPr>
    </w:lvl>
    <w:lvl w:ilvl="3" w:tplc="0409000F" w:tentative="1">
      <w:start w:val="1"/>
      <w:numFmt w:val="decimal"/>
      <w:lvlText w:val="%4."/>
      <w:lvlJc w:val="left"/>
      <w:pPr>
        <w:ind w:left="3153" w:hanging="360"/>
      </w:pPr>
    </w:lvl>
    <w:lvl w:ilvl="4" w:tplc="04090019" w:tentative="1">
      <w:start w:val="1"/>
      <w:numFmt w:val="lowerLetter"/>
      <w:lvlText w:val="%5."/>
      <w:lvlJc w:val="left"/>
      <w:pPr>
        <w:ind w:left="3873" w:hanging="360"/>
      </w:pPr>
    </w:lvl>
    <w:lvl w:ilvl="5" w:tplc="0409001B" w:tentative="1">
      <w:start w:val="1"/>
      <w:numFmt w:val="lowerRoman"/>
      <w:lvlText w:val="%6."/>
      <w:lvlJc w:val="right"/>
      <w:pPr>
        <w:ind w:left="4593" w:hanging="180"/>
      </w:pPr>
    </w:lvl>
    <w:lvl w:ilvl="6" w:tplc="0409000F" w:tentative="1">
      <w:start w:val="1"/>
      <w:numFmt w:val="decimal"/>
      <w:lvlText w:val="%7."/>
      <w:lvlJc w:val="left"/>
      <w:pPr>
        <w:ind w:left="5313" w:hanging="360"/>
      </w:pPr>
    </w:lvl>
    <w:lvl w:ilvl="7" w:tplc="04090019" w:tentative="1">
      <w:start w:val="1"/>
      <w:numFmt w:val="lowerLetter"/>
      <w:lvlText w:val="%8."/>
      <w:lvlJc w:val="left"/>
      <w:pPr>
        <w:ind w:left="6033" w:hanging="360"/>
      </w:pPr>
    </w:lvl>
    <w:lvl w:ilvl="8" w:tplc="0409001B" w:tentative="1">
      <w:start w:val="1"/>
      <w:numFmt w:val="lowerRoman"/>
      <w:lvlText w:val="%9."/>
      <w:lvlJc w:val="right"/>
      <w:pPr>
        <w:ind w:left="6753" w:hanging="180"/>
      </w:pPr>
    </w:lvl>
  </w:abstractNum>
  <w:abstractNum w:abstractNumId="21" w15:restartNumberingAfterBreak="0">
    <w:nsid w:val="3CFE1E77"/>
    <w:multiLevelType w:val="multilevel"/>
    <w:tmpl w:val="3CFE1E7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3D552EE0"/>
    <w:multiLevelType w:val="hybridMultilevel"/>
    <w:tmpl w:val="05BC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AD514C"/>
    <w:multiLevelType w:val="hybridMultilevel"/>
    <w:tmpl w:val="099CE1A0"/>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1A0848"/>
    <w:multiLevelType w:val="hybridMultilevel"/>
    <w:tmpl w:val="24B47AF0"/>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7B46A8"/>
    <w:multiLevelType w:val="hybridMultilevel"/>
    <w:tmpl w:val="C1206A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5034F05"/>
    <w:multiLevelType w:val="hybridMultilevel"/>
    <w:tmpl w:val="5972D6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3B76BF"/>
    <w:multiLevelType w:val="hybridMultilevel"/>
    <w:tmpl w:val="ACACF2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BBA580A"/>
    <w:multiLevelType w:val="hybridMultilevel"/>
    <w:tmpl w:val="A3684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B6F2EBF4"/>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BF063E"/>
    <w:multiLevelType w:val="hybridMultilevel"/>
    <w:tmpl w:val="6CD48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hybridMultilevel"/>
    <w:tmpl w:val="6DA6DDF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5ABD4885"/>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7"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3382593"/>
    <w:multiLevelType w:val="multilevel"/>
    <w:tmpl w:val="662C450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3F33FA1"/>
    <w:multiLevelType w:val="hybridMultilevel"/>
    <w:tmpl w:val="6C989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355825"/>
    <w:multiLevelType w:val="multilevel"/>
    <w:tmpl w:val="B9EAEB00"/>
    <w:lvl w:ilvl="0">
      <w:start w:val="2"/>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6ECC5AA8"/>
    <w:multiLevelType w:val="hybridMultilevel"/>
    <w:tmpl w:val="46187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0EA0CB6"/>
    <w:multiLevelType w:val="hybridMultilevel"/>
    <w:tmpl w:val="AFE09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B8368A"/>
    <w:multiLevelType w:val="hybridMultilevel"/>
    <w:tmpl w:val="F14C84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6877CF4"/>
    <w:multiLevelType w:val="hybridMultilevel"/>
    <w:tmpl w:val="27229EC0"/>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557936582">
    <w:abstractNumId w:val="36"/>
  </w:num>
  <w:num w:numId="2" w16cid:durableId="1833521762">
    <w:abstractNumId w:val="46"/>
  </w:num>
  <w:num w:numId="3" w16cid:durableId="1000931442">
    <w:abstractNumId w:val="18"/>
  </w:num>
  <w:num w:numId="4" w16cid:durableId="1350598418">
    <w:abstractNumId w:val="30"/>
  </w:num>
  <w:num w:numId="5" w16cid:durableId="552816292">
    <w:abstractNumId w:val="13"/>
  </w:num>
  <w:num w:numId="6" w16cid:durableId="789974493">
    <w:abstractNumId w:val="16"/>
  </w:num>
  <w:num w:numId="7" w16cid:durableId="1584752520">
    <w:abstractNumId w:val="35"/>
  </w:num>
  <w:num w:numId="8" w16cid:durableId="1025328668">
    <w:abstractNumId w:val="17"/>
  </w:num>
  <w:num w:numId="9" w16cid:durableId="614098731">
    <w:abstractNumId w:val="0"/>
  </w:num>
  <w:num w:numId="10" w16cid:durableId="1060255050">
    <w:abstractNumId w:val="44"/>
  </w:num>
  <w:num w:numId="11" w16cid:durableId="669214870">
    <w:abstractNumId w:val="14"/>
  </w:num>
  <w:num w:numId="12" w16cid:durableId="1084259082">
    <w:abstractNumId w:val="9"/>
  </w:num>
  <w:num w:numId="13" w16cid:durableId="953902370">
    <w:abstractNumId w:val="45"/>
  </w:num>
  <w:num w:numId="14" w16cid:durableId="1545093441">
    <w:abstractNumId w:val="12"/>
  </w:num>
  <w:num w:numId="15" w16cid:durableId="1342733535">
    <w:abstractNumId w:val="7"/>
  </w:num>
  <w:num w:numId="16" w16cid:durableId="1880127111">
    <w:abstractNumId w:val="41"/>
  </w:num>
  <w:num w:numId="17" w16cid:durableId="2091152004">
    <w:abstractNumId w:val="27"/>
  </w:num>
  <w:num w:numId="18" w16cid:durableId="521361215">
    <w:abstractNumId w:val="2"/>
  </w:num>
  <w:num w:numId="19" w16cid:durableId="1650473083">
    <w:abstractNumId w:val="8"/>
  </w:num>
  <w:num w:numId="20" w16cid:durableId="2028751811">
    <w:abstractNumId w:val="38"/>
  </w:num>
  <w:num w:numId="21" w16cid:durableId="1396005019">
    <w:abstractNumId w:val="40"/>
  </w:num>
  <w:num w:numId="22" w16cid:durableId="2067991773">
    <w:abstractNumId w:val="45"/>
  </w:num>
  <w:num w:numId="23" w16cid:durableId="538904039">
    <w:abstractNumId w:val="31"/>
  </w:num>
  <w:num w:numId="24" w16cid:durableId="1929654137">
    <w:abstractNumId w:val="26"/>
  </w:num>
  <w:num w:numId="25" w16cid:durableId="1693796267">
    <w:abstractNumId w:val="34"/>
  </w:num>
  <w:num w:numId="26" w16cid:durableId="249848073">
    <w:abstractNumId w:val="3"/>
  </w:num>
  <w:num w:numId="27" w16cid:durableId="387266323">
    <w:abstractNumId w:val="23"/>
  </w:num>
  <w:num w:numId="28" w16cid:durableId="1619679734">
    <w:abstractNumId w:val="20"/>
  </w:num>
  <w:num w:numId="29" w16cid:durableId="2024353154">
    <w:abstractNumId w:val="37"/>
  </w:num>
  <w:num w:numId="30" w16cid:durableId="782921050">
    <w:abstractNumId w:val="24"/>
  </w:num>
  <w:num w:numId="31" w16cid:durableId="759761593">
    <w:abstractNumId w:val="37"/>
  </w:num>
  <w:num w:numId="32" w16cid:durableId="485557536">
    <w:abstractNumId w:val="29"/>
  </w:num>
  <w:num w:numId="33" w16cid:durableId="656691214">
    <w:abstractNumId w:val="11"/>
  </w:num>
  <w:num w:numId="34" w16cid:durableId="1765834177">
    <w:abstractNumId w:val="10"/>
  </w:num>
  <w:num w:numId="35" w16cid:durableId="1599480302">
    <w:abstractNumId w:val="15"/>
  </w:num>
  <w:num w:numId="36" w16cid:durableId="1439594145">
    <w:abstractNumId w:val="43"/>
  </w:num>
  <w:num w:numId="37" w16cid:durableId="233052196">
    <w:abstractNumId w:val="39"/>
  </w:num>
  <w:num w:numId="38" w16cid:durableId="1763137174">
    <w:abstractNumId w:val="1"/>
  </w:num>
  <w:num w:numId="39" w16cid:durableId="1168054815">
    <w:abstractNumId w:val="25"/>
  </w:num>
  <w:num w:numId="40" w16cid:durableId="1835994218">
    <w:abstractNumId w:val="42"/>
  </w:num>
  <w:num w:numId="41" w16cid:durableId="812597284">
    <w:abstractNumId w:val="19"/>
  </w:num>
  <w:num w:numId="42" w16cid:durableId="2031252050">
    <w:abstractNumId w:val="32"/>
  </w:num>
  <w:num w:numId="43" w16cid:durableId="571742956">
    <w:abstractNumId w:val="6"/>
  </w:num>
  <w:num w:numId="44" w16cid:durableId="2016225242">
    <w:abstractNumId w:val="5"/>
  </w:num>
  <w:num w:numId="45" w16cid:durableId="1520122480">
    <w:abstractNumId w:val="21"/>
  </w:num>
  <w:num w:numId="46" w16cid:durableId="514733828">
    <w:abstractNumId w:val="4"/>
  </w:num>
  <w:num w:numId="47" w16cid:durableId="1794132908">
    <w:abstractNumId w:val="33"/>
  </w:num>
  <w:num w:numId="48" w16cid:durableId="1723021657">
    <w:abstractNumId w:val="28"/>
  </w:num>
  <w:num w:numId="49" w16cid:durableId="268926278">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9A337A"/>
    <w:rsid w:val="000000C6"/>
    <w:rsid w:val="00000679"/>
    <w:rsid w:val="00000C4E"/>
    <w:rsid w:val="00001B15"/>
    <w:rsid w:val="000048C5"/>
    <w:rsid w:val="00004A1A"/>
    <w:rsid w:val="00004F5B"/>
    <w:rsid w:val="00005805"/>
    <w:rsid w:val="00005EF1"/>
    <w:rsid w:val="00006A9F"/>
    <w:rsid w:val="00006C5F"/>
    <w:rsid w:val="00007090"/>
    <w:rsid w:val="00007103"/>
    <w:rsid w:val="00007CFE"/>
    <w:rsid w:val="0001044D"/>
    <w:rsid w:val="000106C6"/>
    <w:rsid w:val="00012A84"/>
    <w:rsid w:val="00013900"/>
    <w:rsid w:val="00013CD7"/>
    <w:rsid w:val="000141DA"/>
    <w:rsid w:val="000153C7"/>
    <w:rsid w:val="00016501"/>
    <w:rsid w:val="00016A6C"/>
    <w:rsid w:val="00016E6C"/>
    <w:rsid w:val="00017F17"/>
    <w:rsid w:val="00020FC2"/>
    <w:rsid w:val="000230BA"/>
    <w:rsid w:val="000232F5"/>
    <w:rsid w:val="00024CA7"/>
    <w:rsid w:val="00024FB2"/>
    <w:rsid w:val="000260D7"/>
    <w:rsid w:val="000262D1"/>
    <w:rsid w:val="00026AE6"/>
    <w:rsid w:val="00026C8E"/>
    <w:rsid w:val="000300D8"/>
    <w:rsid w:val="0003061F"/>
    <w:rsid w:val="000310D6"/>
    <w:rsid w:val="00031740"/>
    <w:rsid w:val="0003314E"/>
    <w:rsid w:val="00034736"/>
    <w:rsid w:val="00034D23"/>
    <w:rsid w:val="000375CC"/>
    <w:rsid w:val="00040DBE"/>
    <w:rsid w:val="00041FFC"/>
    <w:rsid w:val="00042E42"/>
    <w:rsid w:val="00042EDF"/>
    <w:rsid w:val="00044498"/>
    <w:rsid w:val="00044B72"/>
    <w:rsid w:val="00046623"/>
    <w:rsid w:val="0004682C"/>
    <w:rsid w:val="00046C0B"/>
    <w:rsid w:val="00047C1B"/>
    <w:rsid w:val="0005045F"/>
    <w:rsid w:val="000517A3"/>
    <w:rsid w:val="00051B3B"/>
    <w:rsid w:val="00051F39"/>
    <w:rsid w:val="0005279C"/>
    <w:rsid w:val="000533DD"/>
    <w:rsid w:val="00053CE5"/>
    <w:rsid w:val="00055136"/>
    <w:rsid w:val="000552C3"/>
    <w:rsid w:val="000554F8"/>
    <w:rsid w:val="00056641"/>
    <w:rsid w:val="00056852"/>
    <w:rsid w:val="00056A94"/>
    <w:rsid w:val="00060EA3"/>
    <w:rsid w:val="00063E39"/>
    <w:rsid w:val="00064283"/>
    <w:rsid w:val="000647E5"/>
    <w:rsid w:val="000648FD"/>
    <w:rsid w:val="00064DCD"/>
    <w:rsid w:val="00065199"/>
    <w:rsid w:val="00065697"/>
    <w:rsid w:val="00067163"/>
    <w:rsid w:val="0007139E"/>
    <w:rsid w:val="00071A8E"/>
    <w:rsid w:val="000721C7"/>
    <w:rsid w:val="00072A6E"/>
    <w:rsid w:val="00072DD9"/>
    <w:rsid w:val="0007357C"/>
    <w:rsid w:val="000740CE"/>
    <w:rsid w:val="000747A6"/>
    <w:rsid w:val="0007545A"/>
    <w:rsid w:val="000762E4"/>
    <w:rsid w:val="00077010"/>
    <w:rsid w:val="0008128B"/>
    <w:rsid w:val="0008273E"/>
    <w:rsid w:val="00083DED"/>
    <w:rsid w:val="00084EAF"/>
    <w:rsid w:val="000856D1"/>
    <w:rsid w:val="000861D5"/>
    <w:rsid w:val="0008690A"/>
    <w:rsid w:val="00090245"/>
    <w:rsid w:val="00090B71"/>
    <w:rsid w:val="000917AF"/>
    <w:rsid w:val="00091AAE"/>
    <w:rsid w:val="00091AD9"/>
    <w:rsid w:val="000922DA"/>
    <w:rsid w:val="00092B08"/>
    <w:rsid w:val="00093667"/>
    <w:rsid w:val="00094D53"/>
    <w:rsid w:val="00095C0C"/>
    <w:rsid w:val="00096075"/>
    <w:rsid w:val="000A15E2"/>
    <w:rsid w:val="000A225D"/>
    <w:rsid w:val="000A233A"/>
    <w:rsid w:val="000A2B47"/>
    <w:rsid w:val="000A2E4B"/>
    <w:rsid w:val="000A3504"/>
    <w:rsid w:val="000A383E"/>
    <w:rsid w:val="000A3EE9"/>
    <w:rsid w:val="000A466E"/>
    <w:rsid w:val="000A4DF4"/>
    <w:rsid w:val="000A5117"/>
    <w:rsid w:val="000A51CF"/>
    <w:rsid w:val="000B04CF"/>
    <w:rsid w:val="000B0756"/>
    <w:rsid w:val="000B0D9F"/>
    <w:rsid w:val="000B18D7"/>
    <w:rsid w:val="000B1C94"/>
    <w:rsid w:val="000B46C3"/>
    <w:rsid w:val="000B4C5B"/>
    <w:rsid w:val="000B51FD"/>
    <w:rsid w:val="000B5E28"/>
    <w:rsid w:val="000B6EE3"/>
    <w:rsid w:val="000B7A4C"/>
    <w:rsid w:val="000C12ED"/>
    <w:rsid w:val="000C3F89"/>
    <w:rsid w:val="000C4D16"/>
    <w:rsid w:val="000C4D43"/>
    <w:rsid w:val="000C4E13"/>
    <w:rsid w:val="000C51D3"/>
    <w:rsid w:val="000D0670"/>
    <w:rsid w:val="000D08BB"/>
    <w:rsid w:val="000D0C28"/>
    <w:rsid w:val="000D1287"/>
    <w:rsid w:val="000D1677"/>
    <w:rsid w:val="000D3382"/>
    <w:rsid w:val="000D37F4"/>
    <w:rsid w:val="000D4D1B"/>
    <w:rsid w:val="000D4E4C"/>
    <w:rsid w:val="000D59C0"/>
    <w:rsid w:val="000D5AF1"/>
    <w:rsid w:val="000D5FAB"/>
    <w:rsid w:val="000D6627"/>
    <w:rsid w:val="000D7700"/>
    <w:rsid w:val="000D776A"/>
    <w:rsid w:val="000D7852"/>
    <w:rsid w:val="000E0EBB"/>
    <w:rsid w:val="000E176C"/>
    <w:rsid w:val="000E2011"/>
    <w:rsid w:val="000E2606"/>
    <w:rsid w:val="000E49E4"/>
    <w:rsid w:val="000E4CB8"/>
    <w:rsid w:val="000E4CD8"/>
    <w:rsid w:val="000E6069"/>
    <w:rsid w:val="000E743A"/>
    <w:rsid w:val="000E76E6"/>
    <w:rsid w:val="000F018E"/>
    <w:rsid w:val="000F0CFD"/>
    <w:rsid w:val="000F10FB"/>
    <w:rsid w:val="000F2A3C"/>
    <w:rsid w:val="000F2F82"/>
    <w:rsid w:val="000F40FC"/>
    <w:rsid w:val="000F423F"/>
    <w:rsid w:val="000F55BD"/>
    <w:rsid w:val="000F5E7D"/>
    <w:rsid w:val="000F6F53"/>
    <w:rsid w:val="000F7255"/>
    <w:rsid w:val="00100D7C"/>
    <w:rsid w:val="0010270C"/>
    <w:rsid w:val="00103380"/>
    <w:rsid w:val="001035DA"/>
    <w:rsid w:val="001035FD"/>
    <w:rsid w:val="001052D4"/>
    <w:rsid w:val="00106714"/>
    <w:rsid w:val="001073F8"/>
    <w:rsid w:val="00107501"/>
    <w:rsid w:val="00107829"/>
    <w:rsid w:val="0011007D"/>
    <w:rsid w:val="00110817"/>
    <w:rsid w:val="00110E65"/>
    <w:rsid w:val="001138AE"/>
    <w:rsid w:val="00113E99"/>
    <w:rsid w:val="00113EF4"/>
    <w:rsid w:val="001160F0"/>
    <w:rsid w:val="00116839"/>
    <w:rsid w:val="00116B87"/>
    <w:rsid w:val="001174C3"/>
    <w:rsid w:val="0012221D"/>
    <w:rsid w:val="0012276C"/>
    <w:rsid w:val="00123056"/>
    <w:rsid w:val="0012392C"/>
    <w:rsid w:val="00125D91"/>
    <w:rsid w:val="00126131"/>
    <w:rsid w:val="00126192"/>
    <w:rsid w:val="00127284"/>
    <w:rsid w:val="00127B8A"/>
    <w:rsid w:val="00130A81"/>
    <w:rsid w:val="00130DD3"/>
    <w:rsid w:val="0013113A"/>
    <w:rsid w:val="00131D93"/>
    <w:rsid w:val="00133C52"/>
    <w:rsid w:val="00133CFE"/>
    <w:rsid w:val="00134ADC"/>
    <w:rsid w:val="00135A53"/>
    <w:rsid w:val="00135D38"/>
    <w:rsid w:val="00136402"/>
    <w:rsid w:val="001368CD"/>
    <w:rsid w:val="001368E0"/>
    <w:rsid w:val="00136DF7"/>
    <w:rsid w:val="001372AB"/>
    <w:rsid w:val="0013759B"/>
    <w:rsid w:val="00137826"/>
    <w:rsid w:val="00140570"/>
    <w:rsid w:val="00140BBC"/>
    <w:rsid w:val="00141AF6"/>
    <w:rsid w:val="00143F50"/>
    <w:rsid w:val="00144AF1"/>
    <w:rsid w:val="001450D1"/>
    <w:rsid w:val="0014555E"/>
    <w:rsid w:val="00146127"/>
    <w:rsid w:val="00146754"/>
    <w:rsid w:val="001468DE"/>
    <w:rsid w:val="001471FB"/>
    <w:rsid w:val="00147A7E"/>
    <w:rsid w:val="00147B1B"/>
    <w:rsid w:val="00147BF5"/>
    <w:rsid w:val="00147CD2"/>
    <w:rsid w:val="00150681"/>
    <w:rsid w:val="00150C77"/>
    <w:rsid w:val="00150F0D"/>
    <w:rsid w:val="001521DE"/>
    <w:rsid w:val="00152885"/>
    <w:rsid w:val="00152C5D"/>
    <w:rsid w:val="00153016"/>
    <w:rsid w:val="00153A2D"/>
    <w:rsid w:val="00153CAA"/>
    <w:rsid w:val="0015477B"/>
    <w:rsid w:val="00154A32"/>
    <w:rsid w:val="00154D4C"/>
    <w:rsid w:val="00154E47"/>
    <w:rsid w:val="00155C35"/>
    <w:rsid w:val="00157072"/>
    <w:rsid w:val="00157954"/>
    <w:rsid w:val="00157F78"/>
    <w:rsid w:val="00160BEC"/>
    <w:rsid w:val="00162213"/>
    <w:rsid w:val="0016236B"/>
    <w:rsid w:val="001625DD"/>
    <w:rsid w:val="001628A8"/>
    <w:rsid w:val="00163366"/>
    <w:rsid w:val="00163F22"/>
    <w:rsid w:val="0016443F"/>
    <w:rsid w:val="001644A0"/>
    <w:rsid w:val="00164CDF"/>
    <w:rsid w:val="0016501E"/>
    <w:rsid w:val="001661BB"/>
    <w:rsid w:val="00167468"/>
    <w:rsid w:val="00167BEA"/>
    <w:rsid w:val="00170FCE"/>
    <w:rsid w:val="0017200C"/>
    <w:rsid w:val="0017234B"/>
    <w:rsid w:val="001753FB"/>
    <w:rsid w:val="00176786"/>
    <w:rsid w:val="001779DD"/>
    <w:rsid w:val="001779DF"/>
    <w:rsid w:val="00177CFB"/>
    <w:rsid w:val="00180078"/>
    <w:rsid w:val="00180D4C"/>
    <w:rsid w:val="00180D88"/>
    <w:rsid w:val="0018124E"/>
    <w:rsid w:val="001816BC"/>
    <w:rsid w:val="00181C2E"/>
    <w:rsid w:val="00184285"/>
    <w:rsid w:val="0018466C"/>
    <w:rsid w:val="00192252"/>
    <w:rsid w:val="0019565B"/>
    <w:rsid w:val="00195D7A"/>
    <w:rsid w:val="00196751"/>
    <w:rsid w:val="0019698B"/>
    <w:rsid w:val="00196CBA"/>
    <w:rsid w:val="00197112"/>
    <w:rsid w:val="00197F65"/>
    <w:rsid w:val="001A013B"/>
    <w:rsid w:val="001A14E1"/>
    <w:rsid w:val="001A167D"/>
    <w:rsid w:val="001A1DEA"/>
    <w:rsid w:val="001A223C"/>
    <w:rsid w:val="001A299B"/>
    <w:rsid w:val="001A2F94"/>
    <w:rsid w:val="001A52D4"/>
    <w:rsid w:val="001A56B3"/>
    <w:rsid w:val="001A589B"/>
    <w:rsid w:val="001A5E62"/>
    <w:rsid w:val="001A630F"/>
    <w:rsid w:val="001A6845"/>
    <w:rsid w:val="001B0920"/>
    <w:rsid w:val="001B09A6"/>
    <w:rsid w:val="001B0C60"/>
    <w:rsid w:val="001B12E4"/>
    <w:rsid w:val="001B29BA"/>
    <w:rsid w:val="001B3A2B"/>
    <w:rsid w:val="001B473D"/>
    <w:rsid w:val="001B5B38"/>
    <w:rsid w:val="001B60E4"/>
    <w:rsid w:val="001B6116"/>
    <w:rsid w:val="001B65B8"/>
    <w:rsid w:val="001B6BA8"/>
    <w:rsid w:val="001B6F36"/>
    <w:rsid w:val="001B7A72"/>
    <w:rsid w:val="001C0ED0"/>
    <w:rsid w:val="001C15C7"/>
    <w:rsid w:val="001C1AA5"/>
    <w:rsid w:val="001C24EE"/>
    <w:rsid w:val="001C2C7E"/>
    <w:rsid w:val="001C3576"/>
    <w:rsid w:val="001C384F"/>
    <w:rsid w:val="001C4246"/>
    <w:rsid w:val="001C4964"/>
    <w:rsid w:val="001C4DBB"/>
    <w:rsid w:val="001C4E69"/>
    <w:rsid w:val="001C62F1"/>
    <w:rsid w:val="001D036F"/>
    <w:rsid w:val="001D0D76"/>
    <w:rsid w:val="001D139E"/>
    <w:rsid w:val="001D1AB5"/>
    <w:rsid w:val="001D1F8A"/>
    <w:rsid w:val="001D259A"/>
    <w:rsid w:val="001D3457"/>
    <w:rsid w:val="001D38DF"/>
    <w:rsid w:val="001D3F71"/>
    <w:rsid w:val="001D609F"/>
    <w:rsid w:val="001D6872"/>
    <w:rsid w:val="001D68F5"/>
    <w:rsid w:val="001D76AA"/>
    <w:rsid w:val="001E0257"/>
    <w:rsid w:val="001E1990"/>
    <w:rsid w:val="001E1BAA"/>
    <w:rsid w:val="001E28E6"/>
    <w:rsid w:val="001E37B6"/>
    <w:rsid w:val="001E3C52"/>
    <w:rsid w:val="001E3FCE"/>
    <w:rsid w:val="001E4522"/>
    <w:rsid w:val="001E46C4"/>
    <w:rsid w:val="001E4BD9"/>
    <w:rsid w:val="001E5304"/>
    <w:rsid w:val="001E564B"/>
    <w:rsid w:val="001E659F"/>
    <w:rsid w:val="001E6B27"/>
    <w:rsid w:val="001E7E38"/>
    <w:rsid w:val="001F12B7"/>
    <w:rsid w:val="001F2055"/>
    <w:rsid w:val="001F6C6C"/>
    <w:rsid w:val="001F6F9A"/>
    <w:rsid w:val="001F7964"/>
    <w:rsid w:val="002003EF"/>
    <w:rsid w:val="00200F84"/>
    <w:rsid w:val="0020183F"/>
    <w:rsid w:val="00201CF4"/>
    <w:rsid w:val="002028EB"/>
    <w:rsid w:val="00202CFC"/>
    <w:rsid w:val="002032A3"/>
    <w:rsid w:val="0020426E"/>
    <w:rsid w:val="00204B03"/>
    <w:rsid w:val="00204B27"/>
    <w:rsid w:val="00204BFA"/>
    <w:rsid w:val="002050E4"/>
    <w:rsid w:val="00205644"/>
    <w:rsid w:val="00205BA4"/>
    <w:rsid w:val="00206693"/>
    <w:rsid w:val="002070DA"/>
    <w:rsid w:val="0021148E"/>
    <w:rsid w:val="00213042"/>
    <w:rsid w:val="002157E9"/>
    <w:rsid w:val="00216281"/>
    <w:rsid w:val="00216309"/>
    <w:rsid w:val="0021633A"/>
    <w:rsid w:val="00216608"/>
    <w:rsid w:val="00216FB8"/>
    <w:rsid w:val="0021725D"/>
    <w:rsid w:val="0022024B"/>
    <w:rsid w:val="00220CBD"/>
    <w:rsid w:val="002212AD"/>
    <w:rsid w:val="00221542"/>
    <w:rsid w:val="00221820"/>
    <w:rsid w:val="00222598"/>
    <w:rsid w:val="00223535"/>
    <w:rsid w:val="002235D4"/>
    <w:rsid w:val="00223870"/>
    <w:rsid w:val="0022393B"/>
    <w:rsid w:val="00223F79"/>
    <w:rsid w:val="002259E6"/>
    <w:rsid w:val="00225D3F"/>
    <w:rsid w:val="0022654B"/>
    <w:rsid w:val="002268DA"/>
    <w:rsid w:val="00227580"/>
    <w:rsid w:val="0023182E"/>
    <w:rsid w:val="00231CA5"/>
    <w:rsid w:val="00231DD2"/>
    <w:rsid w:val="00232887"/>
    <w:rsid w:val="00232DE7"/>
    <w:rsid w:val="00232E72"/>
    <w:rsid w:val="002335E9"/>
    <w:rsid w:val="002338CD"/>
    <w:rsid w:val="00233E26"/>
    <w:rsid w:val="002345EA"/>
    <w:rsid w:val="00234693"/>
    <w:rsid w:val="00235114"/>
    <w:rsid w:val="0023658D"/>
    <w:rsid w:val="00236634"/>
    <w:rsid w:val="00237B38"/>
    <w:rsid w:val="00241D94"/>
    <w:rsid w:val="00242FCC"/>
    <w:rsid w:val="00243B3D"/>
    <w:rsid w:val="0024590E"/>
    <w:rsid w:val="002474C0"/>
    <w:rsid w:val="00251895"/>
    <w:rsid w:val="00251B6E"/>
    <w:rsid w:val="002529E5"/>
    <w:rsid w:val="00252F4D"/>
    <w:rsid w:val="00253679"/>
    <w:rsid w:val="002540E8"/>
    <w:rsid w:val="002547B2"/>
    <w:rsid w:val="00255507"/>
    <w:rsid w:val="0025675C"/>
    <w:rsid w:val="00256E88"/>
    <w:rsid w:val="00256EC1"/>
    <w:rsid w:val="00257839"/>
    <w:rsid w:val="00257EC1"/>
    <w:rsid w:val="00260261"/>
    <w:rsid w:val="002604EA"/>
    <w:rsid w:val="0026069A"/>
    <w:rsid w:val="00260A05"/>
    <w:rsid w:val="00261BBF"/>
    <w:rsid w:val="00263840"/>
    <w:rsid w:val="00264025"/>
    <w:rsid w:val="00264037"/>
    <w:rsid w:val="00264C7D"/>
    <w:rsid w:val="00264D2D"/>
    <w:rsid w:val="00265B02"/>
    <w:rsid w:val="00265F07"/>
    <w:rsid w:val="00266672"/>
    <w:rsid w:val="002674D5"/>
    <w:rsid w:val="0026795B"/>
    <w:rsid w:val="002707D1"/>
    <w:rsid w:val="00271171"/>
    <w:rsid w:val="00271612"/>
    <w:rsid w:val="002719FB"/>
    <w:rsid w:val="00271BA6"/>
    <w:rsid w:val="00272CDD"/>
    <w:rsid w:val="0027358A"/>
    <w:rsid w:val="00273D47"/>
    <w:rsid w:val="00273E5E"/>
    <w:rsid w:val="00275D8D"/>
    <w:rsid w:val="00277BC2"/>
    <w:rsid w:val="00282518"/>
    <w:rsid w:val="0028383F"/>
    <w:rsid w:val="0028398A"/>
    <w:rsid w:val="00283C57"/>
    <w:rsid w:val="00284753"/>
    <w:rsid w:val="00284CAD"/>
    <w:rsid w:val="00284F4D"/>
    <w:rsid w:val="00285011"/>
    <w:rsid w:val="0028598C"/>
    <w:rsid w:val="002870B3"/>
    <w:rsid w:val="00287BEE"/>
    <w:rsid w:val="00290368"/>
    <w:rsid w:val="0029130F"/>
    <w:rsid w:val="00292D25"/>
    <w:rsid w:val="00292E34"/>
    <w:rsid w:val="00293164"/>
    <w:rsid w:val="00293F4D"/>
    <w:rsid w:val="0029428E"/>
    <w:rsid w:val="00294B94"/>
    <w:rsid w:val="002956F4"/>
    <w:rsid w:val="0029787F"/>
    <w:rsid w:val="00297D5B"/>
    <w:rsid w:val="002A22DE"/>
    <w:rsid w:val="002A298E"/>
    <w:rsid w:val="002A2BC7"/>
    <w:rsid w:val="002A37AA"/>
    <w:rsid w:val="002A3A39"/>
    <w:rsid w:val="002A4248"/>
    <w:rsid w:val="002A555C"/>
    <w:rsid w:val="002A69E1"/>
    <w:rsid w:val="002A6FED"/>
    <w:rsid w:val="002A7CE2"/>
    <w:rsid w:val="002A7FCA"/>
    <w:rsid w:val="002B093F"/>
    <w:rsid w:val="002B09B1"/>
    <w:rsid w:val="002B0B50"/>
    <w:rsid w:val="002B0BB2"/>
    <w:rsid w:val="002B134E"/>
    <w:rsid w:val="002B18A4"/>
    <w:rsid w:val="002B22A4"/>
    <w:rsid w:val="002B270C"/>
    <w:rsid w:val="002B2967"/>
    <w:rsid w:val="002B2A5C"/>
    <w:rsid w:val="002B392E"/>
    <w:rsid w:val="002B4423"/>
    <w:rsid w:val="002B589C"/>
    <w:rsid w:val="002B6841"/>
    <w:rsid w:val="002B7C74"/>
    <w:rsid w:val="002C0063"/>
    <w:rsid w:val="002C0100"/>
    <w:rsid w:val="002C20D8"/>
    <w:rsid w:val="002C365C"/>
    <w:rsid w:val="002C571E"/>
    <w:rsid w:val="002C6EDE"/>
    <w:rsid w:val="002D1019"/>
    <w:rsid w:val="002D1CB7"/>
    <w:rsid w:val="002D2B7C"/>
    <w:rsid w:val="002D33E5"/>
    <w:rsid w:val="002D376F"/>
    <w:rsid w:val="002D42E6"/>
    <w:rsid w:val="002D75C9"/>
    <w:rsid w:val="002D7C8B"/>
    <w:rsid w:val="002E0C04"/>
    <w:rsid w:val="002E1909"/>
    <w:rsid w:val="002E2D32"/>
    <w:rsid w:val="002E32F2"/>
    <w:rsid w:val="002E5042"/>
    <w:rsid w:val="002E5062"/>
    <w:rsid w:val="002E6003"/>
    <w:rsid w:val="002E64B4"/>
    <w:rsid w:val="002E6D11"/>
    <w:rsid w:val="002F0697"/>
    <w:rsid w:val="002F1400"/>
    <w:rsid w:val="002F2C33"/>
    <w:rsid w:val="002F2E00"/>
    <w:rsid w:val="002F3DEA"/>
    <w:rsid w:val="002F3E07"/>
    <w:rsid w:val="002F3FBE"/>
    <w:rsid w:val="002F4381"/>
    <w:rsid w:val="002F43E9"/>
    <w:rsid w:val="002F4820"/>
    <w:rsid w:val="002F497E"/>
    <w:rsid w:val="002F4EE5"/>
    <w:rsid w:val="002F4F9C"/>
    <w:rsid w:val="002F57CA"/>
    <w:rsid w:val="002F5E9B"/>
    <w:rsid w:val="002F6793"/>
    <w:rsid w:val="002F71D3"/>
    <w:rsid w:val="002F7363"/>
    <w:rsid w:val="0030004D"/>
    <w:rsid w:val="00300353"/>
    <w:rsid w:val="00300A9A"/>
    <w:rsid w:val="00300ED5"/>
    <w:rsid w:val="0030336E"/>
    <w:rsid w:val="00303CF1"/>
    <w:rsid w:val="0030435E"/>
    <w:rsid w:val="0030553B"/>
    <w:rsid w:val="003057C9"/>
    <w:rsid w:val="0030724B"/>
    <w:rsid w:val="00307296"/>
    <w:rsid w:val="00307D5B"/>
    <w:rsid w:val="00310A48"/>
    <w:rsid w:val="00311235"/>
    <w:rsid w:val="00311EE2"/>
    <w:rsid w:val="00312183"/>
    <w:rsid w:val="00312D08"/>
    <w:rsid w:val="003132F4"/>
    <w:rsid w:val="003139B8"/>
    <w:rsid w:val="00313E73"/>
    <w:rsid w:val="0031512C"/>
    <w:rsid w:val="003153A7"/>
    <w:rsid w:val="00315D78"/>
    <w:rsid w:val="00316828"/>
    <w:rsid w:val="003177D9"/>
    <w:rsid w:val="00320D93"/>
    <w:rsid w:val="00322D93"/>
    <w:rsid w:val="00323139"/>
    <w:rsid w:val="0032336C"/>
    <w:rsid w:val="003234E8"/>
    <w:rsid w:val="00323839"/>
    <w:rsid w:val="00323D32"/>
    <w:rsid w:val="00326506"/>
    <w:rsid w:val="003301E7"/>
    <w:rsid w:val="00333804"/>
    <w:rsid w:val="00333D20"/>
    <w:rsid w:val="003343B4"/>
    <w:rsid w:val="0033462E"/>
    <w:rsid w:val="003347DF"/>
    <w:rsid w:val="003360C6"/>
    <w:rsid w:val="00336BF4"/>
    <w:rsid w:val="00336F5A"/>
    <w:rsid w:val="00337079"/>
    <w:rsid w:val="0033713D"/>
    <w:rsid w:val="0034311E"/>
    <w:rsid w:val="00343772"/>
    <w:rsid w:val="00343D95"/>
    <w:rsid w:val="0034405D"/>
    <w:rsid w:val="003440A0"/>
    <w:rsid w:val="0034425A"/>
    <w:rsid w:val="003449A2"/>
    <w:rsid w:val="00344A30"/>
    <w:rsid w:val="003469C5"/>
    <w:rsid w:val="00346DDB"/>
    <w:rsid w:val="003471C1"/>
    <w:rsid w:val="0034740E"/>
    <w:rsid w:val="00347B59"/>
    <w:rsid w:val="00347E6D"/>
    <w:rsid w:val="00347FF0"/>
    <w:rsid w:val="0035135A"/>
    <w:rsid w:val="00351832"/>
    <w:rsid w:val="00351E70"/>
    <w:rsid w:val="003524FF"/>
    <w:rsid w:val="00354363"/>
    <w:rsid w:val="00356882"/>
    <w:rsid w:val="00356B19"/>
    <w:rsid w:val="0035793F"/>
    <w:rsid w:val="00357DD5"/>
    <w:rsid w:val="00360145"/>
    <w:rsid w:val="00360314"/>
    <w:rsid w:val="0036036F"/>
    <w:rsid w:val="00360B30"/>
    <w:rsid w:val="00361467"/>
    <w:rsid w:val="003624F4"/>
    <w:rsid w:val="003628E8"/>
    <w:rsid w:val="00362B63"/>
    <w:rsid w:val="0036467E"/>
    <w:rsid w:val="00365CFF"/>
    <w:rsid w:val="003664C2"/>
    <w:rsid w:val="00371EFA"/>
    <w:rsid w:val="00372375"/>
    <w:rsid w:val="00372E37"/>
    <w:rsid w:val="00374E3A"/>
    <w:rsid w:val="003754A3"/>
    <w:rsid w:val="003760CD"/>
    <w:rsid w:val="003773DA"/>
    <w:rsid w:val="00377423"/>
    <w:rsid w:val="00377917"/>
    <w:rsid w:val="00377C06"/>
    <w:rsid w:val="0038078E"/>
    <w:rsid w:val="00380C55"/>
    <w:rsid w:val="00384A45"/>
    <w:rsid w:val="00384D12"/>
    <w:rsid w:val="003853D6"/>
    <w:rsid w:val="00385E3A"/>
    <w:rsid w:val="00387A4D"/>
    <w:rsid w:val="00390696"/>
    <w:rsid w:val="00391006"/>
    <w:rsid w:val="003912B1"/>
    <w:rsid w:val="00391473"/>
    <w:rsid w:val="00391795"/>
    <w:rsid w:val="00392C41"/>
    <w:rsid w:val="00394B35"/>
    <w:rsid w:val="00394D75"/>
    <w:rsid w:val="00395E70"/>
    <w:rsid w:val="003A00B9"/>
    <w:rsid w:val="003A0328"/>
    <w:rsid w:val="003A0C30"/>
    <w:rsid w:val="003A109F"/>
    <w:rsid w:val="003A11FF"/>
    <w:rsid w:val="003A238A"/>
    <w:rsid w:val="003A5C5C"/>
    <w:rsid w:val="003A62C1"/>
    <w:rsid w:val="003A6DBA"/>
    <w:rsid w:val="003A7693"/>
    <w:rsid w:val="003A7768"/>
    <w:rsid w:val="003B0D6E"/>
    <w:rsid w:val="003B0DF3"/>
    <w:rsid w:val="003B10CE"/>
    <w:rsid w:val="003B141D"/>
    <w:rsid w:val="003B2F60"/>
    <w:rsid w:val="003B4242"/>
    <w:rsid w:val="003B55C3"/>
    <w:rsid w:val="003B586F"/>
    <w:rsid w:val="003B5AA2"/>
    <w:rsid w:val="003B5F94"/>
    <w:rsid w:val="003B7B16"/>
    <w:rsid w:val="003B7E4B"/>
    <w:rsid w:val="003C1CEA"/>
    <w:rsid w:val="003C2C88"/>
    <w:rsid w:val="003C40FD"/>
    <w:rsid w:val="003C4205"/>
    <w:rsid w:val="003C61C1"/>
    <w:rsid w:val="003C6BBF"/>
    <w:rsid w:val="003C775B"/>
    <w:rsid w:val="003D07A6"/>
    <w:rsid w:val="003D0A94"/>
    <w:rsid w:val="003D1097"/>
    <w:rsid w:val="003D42E9"/>
    <w:rsid w:val="003D456B"/>
    <w:rsid w:val="003D470B"/>
    <w:rsid w:val="003D4AD0"/>
    <w:rsid w:val="003D6359"/>
    <w:rsid w:val="003D659F"/>
    <w:rsid w:val="003D6974"/>
    <w:rsid w:val="003D77EF"/>
    <w:rsid w:val="003D78A7"/>
    <w:rsid w:val="003D7953"/>
    <w:rsid w:val="003E0A2E"/>
    <w:rsid w:val="003E1834"/>
    <w:rsid w:val="003E32EC"/>
    <w:rsid w:val="003E433B"/>
    <w:rsid w:val="003F0A16"/>
    <w:rsid w:val="003F21EE"/>
    <w:rsid w:val="003F23D9"/>
    <w:rsid w:val="003F47CE"/>
    <w:rsid w:val="003F61B4"/>
    <w:rsid w:val="003F6DE6"/>
    <w:rsid w:val="003F7546"/>
    <w:rsid w:val="00400252"/>
    <w:rsid w:val="00400893"/>
    <w:rsid w:val="00400A9F"/>
    <w:rsid w:val="00400D49"/>
    <w:rsid w:val="00400D73"/>
    <w:rsid w:val="0040392E"/>
    <w:rsid w:val="00403AF2"/>
    <w:rsid w:val="00403E01"/>
    <w:rsid w:val="00405F03"/>
    <w:rsid w:val="0040749E"/>
    <w:rsid w:val="004077F3"/>
    <w:rsid w:val="00410E41"/>
    <w:rsid w:val="00411272"/>
    <w:rsid w:val="004126A7"/>
    <w:rsid w:val="004127C2"/>
    <w:rsid w:val="004130D9"/>
    <w:rsid w:val="004160BD"/>
    <w:rsid w:val="0041781B"/>
    <w:rsid w:val="0041796E"/>
    <w:rsid w:val="00417A06"/>
    <w:rsid w:val="004208A7"/>
    <w:rsid w:val="00421F38"/>
    <w:rsid w:val="00424874"/>
    <w:rsid w:val="004248B9"/>
    <w:rsid w:val="00424C1D"/>
    <w:rsid w:val="00425051"/>
    <w:rsid w:val="00425383"/>
    <w:rsid w:val="004258F8"/>
    <w:rsid w:val="00425980"/>
    <w:rsid w:val="00425D07"/>
    <w:rsid w:val="00430A88"/>
    <w:rsid w:val="004330CA"/>
    <w:rsid w:val="0043350A"/>
    <w:rsid w:val="00433A70"/>
    <w:rsid w:val="004352BD"/>
    <w:rsid w:val="004353D5"/>
    <w:rsid w:val="00435DB6"/>
    <w:rsid w:val="00436327"/>
    <w:rsid w:val="00436C0C"/>
    <w:rsid w:val="004374E0"/>
    <w:rsid w:val="00437864"/>
    <w:rsid w:val="00437E96"/>
    <w:rsid w:val="0044117C"/>
    <w:rsid w:val="00441FF5"/>
    <w:rsid w:val="004440EB"/>
    <w:rsid w:val="00444B73"/>
    <w:rsid w:val="00445BD2"/>
    <w:rsid w:val="00446E37"/>
    <w:rsid w:val="0045060C"/>
    <w:rsid w:val="00453B47"/>
    <w:rsid w:val="00454007"/>
    <w:rsid w:val="00454504"/>
    <w:rsid w:val="00454551"/>
    <w:rsid w:val="0045529E"/>
    <w:rsid w:val="00455A57"/>
    <w:rsid w:val="00455A9D"/>
    <w:rsid w:val="00455C0B"/>
    <w:rsid w:val="00455EC2"/>
    <w:rsid w:val="004567BD"/>
    <w:rsid w:val="004568E3"/>
    <w:rsid w:val="00457FE2"/>
    <w:rsid w:val="0046069C"/>
    <w:rsid w:val="004610E7"/>
    <w:rsid w:val="004612F7"/>
    <w:rsid w:val="004618A6"/>
    <w:rsid w:val="00462B16"/>
    <w:rsid w:val="00462D8D"/>
    <w:rsid w:val="00463339"/>
    <w:rsid w:val="004672BD"/>
    <w:rsid w:val="00470D5B"/>
    <w:rsid w:val="004714F5"/>
    <w:rsid w:val="00471989"/>
    <w:rsid w:val="00472D29"/>
    <w:rsid w:val="00473CA4"/>
    <w:rsid w:val="00475445"/>
    <w:rsid w:val="00475A94"/>
    <w:rsid w:val="00475AA3"/>
    <w:rsid w:val="00475E03"/>
    <w:rsid w:val="004768FF"/>
    <w:rsid w:val="00477EE7"/>
    <w:rsid w:val="00477F2A"/>
    <w:rsid w:val="0048105D"/>
    <w:rsid w:val="00481F4D"/>
    <w:rsid w:val="004824D6"/>
    <w:rsid w:val="00482CF1"/>
    <w:rsid w:val="00483B22"/>
    <w:rsid w:val="00483E5F"/>
    <w:rsid w:val="004847A4"/>
    <w:rsid w:val="00484B21"/>
    <w:rsid w:val="00486123"/>
    <w:rsid w:val="00487D97"/>
    <w:rsid w:val="00490C02"/>
    <w:rsid w:val="0049104D"/>
    <w:rsid w:val="00491DFF"/>
    <w:rsid w:val="0049269D"/>
    <w:rsid w:val="00493756"/>
    <w:rsid w:val="004942C8"/>
    <w:rsid w:val="00494870"/>
    <w:rsid w:val="00495685"/>
    <w:rsid w:val="0049591B"/>
    <w:rsid w:val="0049604D"/>
    <w:rsid w:val="004970A3"/>
    <w:rsid w:val="004975DE"/>
    <w:rsid w:val="00497C40"/>
    <w:rsid w:val="004A0608"/>
    <w:rsid w:val="004A0F74"/>
    <w:rsid w:val="004A11E3"/>
    <w:rsid w:val="004A1F55"/>
    <w:rsid w:val="004A212C"/>
    <w:rsid w:val="004A296B"/>
    <w:rsid w:val="004A3179"/>
    <w:rsid w:val="004A5520"/>
    <w:rsid w:val="004A5E6A"/>
    <w:rsid w:val="004A659A"/>
    <w:rsid w:val="004A6BCA"/>
    <w:rsid w:val="004A6CB1"/>
    <w:rsid w:val="004A6DD9"/>
    <w:rsid w:val="004A711F"/>
    <w:rsid w:val="004B004C"/>
    <w:rsid w:val="004B10C3"/>
    <w:rsid w:val="004B1492"/>
    <w:rsid w:val="004B1B1B"/>
    <w:rsid w:val="004B2D15"/>
    <w:rsid w:val="004B2E7D"/>
    <w:rsid w:val="004B3B56"/>
    <w:rsid w:val="004B3EBD"/>
    <w:rsid w:val="004B4829"/>
    <w:rsid w:val="004B49F5"/>
    <w:rsid w:val="004B52E6"/>
    <w:rsid w:val="004B6141"/>
    <w:rsid w:val="004B7224"/>
    <w:rsid w:val="004B73BE"/>
    <w:rsid w:val="004B7E13"/>
    <w:rsid w:val="004C0C38"/>
    <w:rsid w:val="004C2D32"/>
    <w:rsid w:val="004C2F2F"/>
    <w:rsid w:val="004C3DF4"/>
    <w:rsid w:val="004C5C5F"/>
    <w:rsid w:val="004C5D0A"/>
    <w:rsid w:val="004C626B"/>
    <w:rsid w:val="004C6960"/>
    <w:rsid w:val="004D05AE"/>
    <w:rsid w:val="004D10AA"/>
    <w:rsid w:val="004D153F"/>
    <w:rsid w:val="004D1A3E"/>
    <w:rsid w:val="004D26EF"/>
    <w:rsid w:val="004D2EB6"/>
    <w:rsid w:val="004D32D8"/>
    <w:rsid w:val="004D39A3"/>
    <w:rsid w:val="004D4B32"/>
    <w:rsid w:val="004D4D38"/>
    <w:rsid w:val="004D6FBE"/>
    <w:rsid w:val="004D70C7"/>
    <w:rsid w:val="004E0FCE"/>
    <w:rsid w:val="004E11BA"/>
    <w:rsid w:val="004E1314"/>
    <w:rsid w:val="004E14EB"/>
    <w:rsid w:val="004E1A52"/>
    <w:rsid w:val="004E2AD7"/>
    <w:rsid w:val="004E3F7C"/>
    <w:rsid w:val="004E5F96"/>
    <w:rsid w:val="004E64B0"/>
    <w:rsid w:val="004E6D93"/>
    <w:rsid w:val="004E7E06"/>
    <w:rsid w:val="004F0275"/>
    <w:rsid w:val="004F178A"/>
    <w:rsid w:val="004F1EEB"/>
    <w:rsid w:val="004F1F71"/>
    <w:rsid w:val="004F2661"/>
    <w:rsid w:val="004F2A11"/>
    <w:rsid w:val="004F3479"/>
    <w:rsid w:val="004F531D"/>
    <w:rsid w:val="004F575C"/>
    <w:rsid w:val="004F5D40"/>
    <w:rsid w:val="00500233"/>
    <w:rsid w:val="00500299"/>
    <w:rsid w:val="005005B1"/>
    <w:rsid w:val="00500C16"/>
    <w:rsid w:val="00500DCF"/>
    <w:rsid w:val="00500E85"/>
    <w:rsid w:val="005015FA"/>
    <w:rsid w:val="005025B8"/>
    <w:rsid w:val="0050488E"/>
    <w:rsid w:val="00505053"/>
    <w:rsid w:val="00505407"/>
    <w:rsid w:val="00505A3B"/>
    <w:rsid w:val="00506BF6"/>
    <w:rsid w:val="005109E9"/>
    <w:rsid w:val="00511B48"/>
    <w:rsid w:val="00512129"/>
    <w:rsid w:val="00512674"/>
    <w:rsid w:val="0051604B"/>
    <w:rsid w:val="005172CD"/>
    <w:rsid w:val="005201D5"/>
    <w:rsid w:val="0052023B"/>
    <w:rsid w:val="0052086D"/>
    <w:rsid w:val="0052163C"/>
    <w:rsid w:val="005224AA"/>
    <w:rsid w:val="00522716"/>
    <w:rsid w:val="005229EF"/>
    <w:rsid w:val="00522BFB"/>
    <w:rsid w:val="00523E60"/>
    <w:rsid w:val="005241B7"/>
    <w:rsid w:val="0052547F"/>
    <w:rsid w:val="00526025"/>
    <w:rsid w:val="005261F5"/>
    <w:rsid w:val="00526492"/>
    <w:rsid w:val="005264D4"/>
    <w:rsid w:val="005266F6"/>
    <w:rsid w:val="00530B94"/>
    <w:rsid w:val="00531F53"/>
    <w:rsid w:val="00532227"/>
    <w:rsid w:val="005324BE"/>
    <w:rsid w:val="0053315E"/>
    <w:rsid w:val="005331AA"/>
    <w:rsid w:val="005335C3"/>
    <w:rsid w:val="00533E27"/>
    <w:rsid w:val="00534071"/>
    <w:rsid w:val="00535C30"/>
    <w:rsid w:val="00535EE2"/>
    <w:rsid w:val="00537534"/>
    <w:rsid w:val="00537DAF"/>
    <w:rsid w:val="0054082A"/>
    <w:rsid w:val="005425F0"/>
    <w:rsid w:val="00542A8F"/>
    <w:rsid w:val="00542FEC"/>
    <w:rsid w:val="005433AF"/>
    <w:rsid w:val="00543600"/>
    <w:rsid w:val="0054692D"/>
    <w:rsid w:val="00546EDE"/>
    <w:rsid w:val="005500B2"/>
    <w:rsid w:val="005500B9"/>
    <w:rsid w:val="0055218E"/>
    <w:rsid w:val="0055291C"/>
    <w:rsid w:val="00552941"/>
    <w:rsid w:val="00552B01"/>
    <w:rsid w:val="005531AA"/>
    <w:rsid w:val="005534BA"/>
    <w:rsid w:val="005548A2"/>
    <w:rsid w:val="005555D8"/>
    <w:rsid w:val="00555910"/>
    <w:rsid w:val="00556460"/>
    <w:rsid w:val="00556996"/>
    <w:rsid w:val="00557FF2"/>
    <w:rsid w:val="00560476"/>
    <w:rsid w:val="0056067A"/>
    <w:rsid w:val="00560827"/>
    <w:rsid w:val="00561239"/>
    <w:rsid w:val="005621A8"/>
    <w:rsid w:val="00563126"/>
    <w:rsid w:val="005632D2"/>
    <w:rsid w:val="005635EF"/>
    <w:rsid w:val="00563761"/>
    <w:rsid w:val="00563806"/>
    <w:rsid w:val="005653FC"/>
    <w:rsid w:val="005661AF"/>
    <w:rsid w:val="005665A6"/>
    <w:rsid w:val="005665FA"/>
    <w:rsid w:val="005668DC"/>
    <w:rsid w:val="00566A14"/>
    <w:rsid w:val="00570900"/>
    <w:rsid w:val="005718E5"/>
    <w:rsid w:val="00572592"/>
    <w:rsid w:val="005742BE"/>
    <w:rsid w:val="00574D40"/>
    <w:rsid w:val="005803B9"/>
    <w:rsid w:val="0058055E"/>
    <w:rsid w:val="00581BE8"/>
    <w:rsid w:val="00582982"/>
    <w:rsid w:val="00582E2D"/>
    <w:rsid w:val="00583411"/>
    <w:rsid w:val="005846B6"/>
    <w:rsid w:val="00585572"/>
    <w:rsid w:val="005855FB"/>
    <w:rsid w:val="00587BF6"/>
    <w:rsid w:val="00587E24"/>
    <w:rsid w:val="00587E63"/>
    <w:rsid w:val="00587F1B"/>
    <w:rsid w:val="005903CB"/>
    <w:rsid w:val="0059065E"/>
    <w:rsid w:val="00591042"/>
    <w:rsid w:val="00591B9B"/>
    <w:rsid w:val="00592D30"/>
    <w:rsid w:val="0059345B"/>
    <w:rsid w:val="00593B9B"/>
    <w:rsid w:val="00594238"/>
    <w:rsid w:val="0059428A"/>
    <w:rsid w:val="005944D5"/>
    <w:rsid w:val="005951AC"/>
    <w:rsid w:val="005958F6"/>
    <w:rsid w:val="0059653B"/>
    <w:rsid w:val="0059699E"/>
    <w:rsid w:val="00597026"/>
    <w:rsid w:val="005975EF"/>
    <w:rsid w:val="005A0454"/>
    <w:rsid w:val="005A1C07"/>
    <w:rsid w:val="005A1C16"/>
    <w:rsid w:val="005A311D"/>
    <w:rsid w:val="005A35A0"/>
    <w:rsid w:val="005A5395"/>
    <w:rsid w:val="005A574A"/>
    <w:rsid w:val="005A635E"/>
    <w:rsid w:val="005A7830"/>
    <w:rsid w:val="005A7BC6"/>
    <w:rsid w:val="005A7EA2"/>
    <w:rsid w:val="005B2859"/>
    <w:rsid w:val="005B2A25"/>
    <w:rsid w:val="005B4FA4"/>
    <w:rsid w:val="005B5931"/>
    <w:rsid w:val="005B703D"/>
    <w:rsid w:val="005B75E0"/>
    <w:rsid w:val="005B77D5"/>
    <w:rsid w:val="005B7C31"/>
    <w:rsid w:val="005C0222"/>
    <w:rsid w:val="005C168B"/>
    <w:rsid w:val="005C28BA"/>
    <w:rsid w:val="005C2EED"/>
    <w:rsid w:val="005C3542"/>
    <w:rsid w:val="005C3E62"/>
    <w:rsid w:val="005C401C"/>
    <w:rsid w:val="005C54DE"/>
    <w:rsid w:val="005C5CF1"/>
    <w:rsid w:val="005C62D0"/>
    <w:rsid w:val="005D014D"/>
    <w:rsid w:val="005D16C5"/>
    <w:rsid w:val="005D19BC"/>
    <w:rsid w:val="005D262C"/>
    <w:rsid w:val="005D2A2D"/>
    <w:rsid w:val="005D2BB4"/>
    <w:rsid w:val="005D3E91"/>
    <w:rsid w:val="005D4E0C"/>
    <w:rsid w:val="005D58CE"/>
    <w:rsid w:val="005D67D4"/>
    <w:rsid w:val="005E03FC"/>
    <w:rsid w:val="005E1129"/>
    <w:rsid w:val="005E1133"/>
    <w:rsid w:val="005E14F1"/>
    <w:rsid w:val="005E19D5"/>
    <w:rsid w:val="005E1B31"/>
    <w:rsid w:val="005E2DFF"/>
    <w:rsid w:val="005E4A04"/>
    <w:rsid w:val="005E5243"/>
    <w:rsid w:val="005E5597"/>
    <w:rsid w:val="005E5C7B"/>
    <w:rsid w:val="005E5EFF"/>
    <w:rsid w:val="005E6E93"/>
    <w:rsid w:val="005E7C9F"/>
    <w:rsid w:val="005F0012"/>
    <w:rsid w:val="005F0964"/>
    <w:rsid w:val="005F149B"/>
    <w:rsid w:val="005F4C3E"/>
    <w:rsid w:val="005F590D"/>
    <w:rsid w:val="005F626D"/>
    <w:rsid w:val="005F749D"/>
    <w:rsid w:val="005F7C3F"/>
    <w:rsid w:val="00600022"/>
    <w:rsid w:val="00600592"/>
    <w:rsid w:val="00600690"/>
    <w:rsid w:val="00600BA8"/>
    <w:rsid w:val="00604E85"/>
    <w:rsid w:val="00605358"/>
    <w:rsid w:val="00605A72"/>
    <w:rsid w:val="00605C48"/>
    <w:rsid w:val="00606E73"/>
    <w:rsid w:val="006076A6"/>
    <w:rsid w:val="00607723"/>
    <w:rsid w:val="00607A53"/>
    <w:rsid w:val="00607EEA"/>
    <w:rsid w:val="00610FB2"/>
    <w:rsid w:val="0061156B"/>
    <w:rsid w:val="006130E6"/>
    <w:rsid w:val="00613876"/>
    <w:rsid w:val="00613A9C"/>
    <w:rsid w:val="00613B32"/>
    <w:rsid w:val="00614036"/>
    <w:rsid w:val="00614263"/>
    <w:rsid w:val="006142E0"/>
    <w:rsid w:val="00614AD1"/>
    <w:rsid w:val="00615160"/>
    <w:rsid w:val="0061605A"/>
    <w:rsid w:val="006161B2"/>
    <w:rsid w:val="0061764A"/>
    <w:rsid w:val="00617955"/>
    <w:rsid w:val="0062006B"/>
    <w:rsid w:val="00620A5E"/>
    <w:rsid w:val="00621023"/>
    <w:rsid w:val="0062251E"/>
    <w:rsid w:val="006231AC"/>
    <w:rsid w:val="00623F24"/>
    <w:rsid w:val="00624729"/>
    <w:rsid w:val="00624B90"/>
    <w:rsid w:val="00624EB2"/>
    <w:rsid w:val="00625F36"/>
    <w:rsid w:val="00626A05"/>
    <w:rsid w:val="00627CF0"/>
    <w:rsid w:val="0063017E"/>
    <w:rsid w:val="006301B6"/>
    <w:rsid w:val="00630733"/>
    <w:rsid w:val="006310AB"/>
    <w:rsid w:val="006318EB"/>
    <w:rsid w:val="00631F9D"/>
    <w:rsid w:val="00635F1D"/>
    <w:rsid w:val="00636B3A"/>
    <w:rsid w:val="00636D75"/>
    <w:rsid w:val="006373E5"/>
    <w:rsid w:val="00640062"/>
    <w:rsid w:val="0064124A"/>
    <w:rsid w:val="006426BD"/>
    <w:rsid w:val="00643A0F"/>
    <w:rsid w:val="00644217"/>
    <w:rsid w:val="0064469F"/>
    <w:rsid w:val="00644F8B"/>
    <w:rsid w:val="006451BC"/>
    <w:rsid w:val="006458D4"/>
    <w:rsid w:val="00645AC7"/>
    <w:rsid w:val="00645C06"/>
    <w:rsid w:val="006463BA"/>
    <w:rsid w:val="00647392"/>
    <w:rsid w:val="00650F9B"/>
    <w:rsid w:val="006511E0"/>
    <w:rsid w:val="006529E4"/>
    <w:rsid w:val="006533FD"/>
    <w:rsid w:val="0065393A"/>
    <w:rsid w:val="00654A33"/>
    <w:rsid w:val="00656A90"/>
    <w:rsid w:val="006602BD"/>
    <w:rsid w:val="00661D09"/>
    <w:rsid w:val="006620A9"/>
    <w:rsid w:val="006626DD"/>
    <w:rsid w:val="00662DE5"/>
    <w:rsid w:val="006652C0"/>
    <w:rsid w:val="00665777"/>
    <w:rsid w:val="0066596D"/>
    <w:rsid w:val="00665DB3"/>
    <w:rsid w:val="00665FC5"/>
    <w:rsid w:val="00666619"/>
    <w:rsid w:val="00667708"/>
    <w:rsid w:val="00667946"/>
    <w:rsid w:val="00670217"/>
    <w:rsid w:val="00670D27"/>
    <w:rsid w:val="006719A0"/>
    <w:rsid w:val="00671C13"/>
    <w:rsid w:val="00672236"/>
    <w:rsid w:val="0067224B"/>
    <w:rsid w:val="006726A8"/>
    <w:rsid w:val="006727FC"/>
    <w:rsid w:val="00672E9B"/>
    <w:rsid w:val="006757BE"/>
    <w:rsid w:val="00677EBE"/>
    <w:rsid w:val="0068073B"/>
    <w:rsid w:val="00680FC2"/>
    <w:rsid w:val="006811CD"/>
    <w:rsid w:val="00681877"/>
    <w:rsid w:val="006832CC"/>
    <w:rsid w:val="00683875"/>
    <w:rsid w:val="006839C2"/>
    <w:rsid w:val="00683B03"/>
    <w:rsid w:val="00683B82"/>
    <w:rsid w:val="00683FF4"/>
    <w:rsid w:val="006846B2"/>
    <w:rsid w:val="006853A5"/>
    <w:rsid w:val="0068553E"/>
    <w:rsid w:val="00687271"/>
    <w:rsid w:val="0069004F"/>
    <w:rsid w:val="006918D8"/>
    <w:rsid w:val="006919F8"/>
    <w:rsid w:val="00692150"/>
    <w:rsid w:val="00693E8C"/>
    <w:rsid w:val="00693FA1"/>
    <w:rsid w:val="0069430B"/>
    <w:rsid w:val="006947C5"/>
    <w:rsid w:val="006959B4"/>
    <w:rsid w:val="00696816"/>
    <w:rsid w:val="00697838"/>
    <w:rsid w:val="006A0260"/>
    <w:rsid w:val="006A1503"/>
    <w:rsid w:val="006A271A"/>
    <w:rsid w:val="006A2A1D"/>
    <w:rsid w:val="006A2CFE"/>
    <w:rsid w:val="006A2E0F"/>
    <w:rsid w:val="006A3572"/>
    <w:rsid w:val="006A45F9"/>
    <w:rsid w:val="006A4733"/>
    <w:rsid w:val="006A5A4A"/>
    <w:rsid w:val="006A68BC"/>
    <w:rsid w:val="006B02A0"/>
    <w:rsid w:val="006B0553"/>
    <w:rsid w:val="006B0FAB"/>
    <w:rsid w:val="006B1C5C"/>
    <w:rsid w:val="006B23E4"/>
    <w:rsid w:val="006B26B3"/>
    <w:rsid w:val="006B3139"/>
    <w:rsid w:val="006B3B93"/>
    <w:rsid w:val="006B54AD"/>
    <w:rsid w:val="006B5BD1"/>
    <w:rsid w:val="006B5DD1"/>
    <w:rsid w:val="006B5EAB"/>
    <w:rsid w:val="006B6526"/>
    <w:rsid w:val="006B6EE9"/>
    <w:rsid w:val="006C04FC"/>
    <w:rsid w:val="006C0DE5"/>
    <w:rsid w:val="006C1921"/>
    <w:rsid w:val="006C34C3"/>
    <w:rsid w:val="006C3F9F"/>
    <w:rsid w:val="006C49F2"/>
    <w:rsid w:val="006C4BE2"/>
    <w:rsid w:val="006C4E10"/>
    <w:rsid w:val="006C56AF"/>
    <w:rsid w:val="006C5F2E"/>
    <w:rsid w:val="006C62EF"/>
    <w:rsid w:val="006C7B77"/>
    <w:rsid w:val="006D0255"/>
    <w:rsid w:val="006D071A"/>
    <w:rsid w:val="006D27FB"/>
    <w:rsid w:val="006D3385"/>
    <w:rsid w:val="006D39E2"/>
    <w:rsid w:val="006D3D9C"/>
    <w:rsid w:val="006D4E9D"/>
    <w:rsid w:val="006D72C6"/>
    <w:rsid w:val="006E0375"/>
    <w:rsid w:val="006E0C88"/>
    <w:rsid w:val="006E3AFB"/>
    <w:rsid w:val="006E3E38"/>
    <w:rsid w:val="006E4F9B"/>
    <w:rsid w:val="006E5AB0"/>
    <w:rsid w:val="006E60E4"/>
    <w:rsid w:val="006E7246"/>
    <w:rsid w:val="006E7DF2"/>
    <w:rsid w:val="006F065B"/>
    <w:rsid w:val="006F0759"/>
    <w:rsid w:val="006F0FDA"/>
    <w:rsid w:val="006F11DF"/>
    <w:rsid w:val="006F1984"/>
    <w:rsid w:val="006F23A2"/>
    <w:rsid w:val="006F2556"/>
    <w:rsid w:val="006F2BA6"/>
    <w:rsid w:val="006F2CDA"/>
    <w:rsid w:val="006F3854"/>
    <w:rsid w:val="006F3885"/>
    <w:rsid w:val="006F4110"/>
    <w:rsid w:val="006F4A88"/>
    <w:rsid w:val="006F61E7"/>
    <w:rsid w:val="006F68E4"/>
    <w:rsid w:val="006F69F8"/>
    <w:rsid w:val="006F78C6"/>
    <w:rsid w:val="00701658"/>
    <w:rsid w:val="007024BF"/>
    <w:rsid w:val="00702B1F"/>
    <w:rsid w:val="00702D52"/>
    <w:rsid w:val="00702E2A"/>
    <w:rsid w:val="0070324A"/>
    <w:rsid w:val="00703666"/>
    <w:rsid w:val="007036EF"/>
    <w:rsid w:val="007040C9"/>
    <w:rsid w:val="00704E45"/>
    <w:rsid w:val="00705060"/>
    <w:rsid w:val="007055F6"/>
    <w:rsid w:val="00705879"/>
    <w:rsid w:val="007060DB"/>
    <w:rsid w:val="00706B9A"/>
    <w:rsid w:val="00706C04"/>
    <w:rsid w:val="0070712A"/>
    <w:rsid w:val="0070720D"/>
    <w:rsid w:val="007072E0"/>
    <w:rsid w:val="00710770"/>
    <w:rsid w:val="00711803"/>
    <w:rsid w:val="00711A2D"/>
    <w:rsid w:val="00712C3A"/>
    <w:rsid w:val="00715852"/>
    <w:rsid w:val="00716069"/>
    <w:rsid w:val="0071797F"/>
    <w:rsid w:val="00720092"/>
    <w:rsid w:val="007208BB"/>
    <w:rsid w:val="007220AD"/>
    <w:rsid w:val="00722C61"/>
    <w:rsid w:val="0072320F"/>
    <w:rsid w:val="00724CB1"/>
    <w:rsid w:val="00724DBA"/>
    <w:rsid w:val="00725532"/>
    <w:rsid w:val="0072606B"/>
    <w:rsid w:val="00726FAF"/>
    <w:rsid w:val="00730062"/>
    <w:rsid w:val="007300E0"/>
    <w:rsid w:val="00730207"/>
    <w:rsid w:val="0073087E"/>
    <w:rsid w:val="00730D4A"/>
    <w:rsid w:val="00730E58"/>
    <w:rsid w:val="00731164"/>
    <w:rsid w:val="0073138B"/>
    <w:rsid w:val="0073245D"/>
    <w:rsid w:val="00733C7D"/>
    <w:rsid w:val="007340F4"/>
    <w:rsid w:val="00734859"/>
    <w:rsid w:val="007350E2"/>
    <w:rsid w:val="0073552C"/>
    <w:rsid w:val="00736F1D"/>
    <w:rsid w:val="00737563"/>
    <w:rsid w:val="007378F4"/>
    <w:rsid w:val="007404C4"/>
    <w:rsid w:val="0074145A"/>
    <w:rsid w:val="00742807"/>
    <w:rsid w:val="00743125"/>
    <w:rsid w:val="007448D1"/>
    <w:rsid w:val="00744D48"/>
    <w:rsid w:val="00744FBA"/>
    <w:rsid w:val="007468CA"/>
    <w:rsid w:val="0075087E"/>
    <w:rsid w:val="00750C36"/>
    <w:rsid w:val="007511D4"/>
    <w:rsid w:val="007514ED"/>
    <w:rsid w:val="00751AC5"/>
    <w:rsid w:val="00752368"/>
    <w:rsid w:val="0075368B"/>
    <w:rsid w:val="00753995"/>
    <w:rsid w:val="0075416E"/>
    <w:rsid w:val="00754CB9"/>
    <w:rsid w:val="00754EDF"/>
    <w:rsid w:val="007553F4"/>
    <w:rsid w:val="007610D7"/>
    <w:rsid w:val="00761268"/>
    <w:rsid w:val="00761B19"/>
    <w:rsid w:val="0076344B"/>
    <w:rsid w:val="00763FE5"/>
    <w:rsid w:val="00764C98"/>
    <w:rsid w:val="00765DA2"/>
    <w:rsid w:val="00765F81"/>
    <w:rsid w:val="00765FED"/>
    <w:rsid w:val="00766144"/>
    <w:rsid w:val="00766B86"/>
    <w:rsid w:val="00767209"/>
    <w:rsid w:val="00771346"/>
    <w:rsid w:val="0077228D"/>
    <w:rsid w:val="00772A2F"/>
    <w:rsid w:val="00773C96"/>
    <w:rsid w:val="00774618"/>
    <w:rsid w:val="007759EF"/>
    <w:rsid w:val="00776E79"/>
    <w:rsid w:val="00777023"/>
    <w:rsid w:val="00777B3E"/>
    <w:rsid w:val="00780142"/>
    <w:rsid w:val="0078078F"/>
    <w:rsid w:val="00780C5D"/>
    <w:rsid w:val="00781521"/>
    <w:rsid w:val="00781CFA"/>
    <w:rsid w:val="00781E11"/>
    <w:rsid w:val="007827B0"/>
    <w:rsid w:val="007834D3"/>
    <w:rsid w:val="00783F0F"/>
    <w:rsid w:val="00785041"/>
    <w:rsid w:val="00786C1B"/>
    <w:rsid w:val="00787559"/>
    <w:rsid w:val="0079078C"/>
    <w:rsid w:val="00790E70"/>
    <w:rsid w:val="00791135"/>
    <w:rsid w:val="00791665"/>
    <w:rsid w:val="00792DB3"/>
    <w:rsid w:val="00794977"/>
    <w:rsid w:val="007951E0"/>
    <w:rsid w:val="00795BA2"/>
    <w:rsid w:val="0079652A"/>
    <w:rsid w:val="007965FF"/>
    <w:rsid w:val="00796D71"/>
    <w:rsid w:val="0079703D"/>
    <w:rsid w:val="00797F0A"/>
    <w:rsid w:val="007A297F"/>
    <w:rsid w:val="007A31B5"/>
    <w:rsid w:val="007A376F"/>
    <w:rsid w:val="007A4043"/>
    <w:rsid w:val="007A533A"/>
    <w:rsid w:val="007A6056"/>
    <w:rsid w:val="007A714B"/>
    <w:rsid w:val="007A719D"/>
    <w:rsid w:val="007B0396"/>
    <w:rsid w:val="007B06BC"/>
    <w:rsid w:val="007B14B6"/>
    <w:rsid w:val="007B1D0E"/>
    <w:rsid w:val="007B1F63"/>
    <w:rsid w:val="007B2938"/>
    <w:rsid w:val="007B3869"/>
    <w:rsid w:val="007B3940"/>
    <w:rsid w:val="007B4165"/>
    <w:rsid w:val="007B5422"/>
    <w:rsid w:val="007B6CC3"/>
    <w:rsid w:val="007B79AA"/>
    <w:rsid w:val="007C0932"/>
    <w:rsid w:val="007C0A04"/>
    <w:rsid w:val="007C337A"/>
    <w:rsid w:val="007C3676"/>
    <w:rsid w:val="007C44F5"/>
    <w:rsid w:val="007C4EE0"/>
    <w:rsid w:val="007C4FE9"/>
    <w:rsid w:val="007C59E0"/>
    <w:rsid w:val="007C65E8"/>
    <w:rsid w:val="007C684A"/>
    <w:rsid w:val="007C6AB6"/>
    <w:rsid w:val="007C783D"/>
    <w:rsid w:val="007D0CF4"/>
    <w:rsid w:val="007D1B0E"/>
    <w:rsid w:val="007D1F6C"/>
    <w:rsid w:val="007D226C"/>
    <w:rsid w:val="007D2816"/>
    <w:rsid w:val="007D342D"/>
    <w:rsid w:val="007D51D0"/>
    <w:rsid w:val="007D6A06"/>
    <w:rsid w:val="007D6C36"/>
    <w:rsid w:val="007D7B1D"/>
    <w:rsid w:val="007E034F"/>
    <w:rsid w:val="007E08D6"/>
    <w:rsid w:val="007E0EFF"/>
    <w:rsid w:val="007E1E60"/>
    <w:rsid w:val="007E2F63"/>
    <w:rsid w:val="007E3668"/>
    <w:rsid w:val="007E3882"/>
    <w:rsid w:val="007E4105"/>
    <w:rsid w:val="007E593F"/>
    <w:rsid w:val="007E5DAB"/>
    <w:rsid w:val="007E6298"/>
    <w:rsid w:val="007E67F0"/>
    <w:rsid w:val="007E7085"/>
    <w:rsid w:val="007E7D67"/>
    <w:rsid w:val="007F0714"/>
    <w:rsid w:val="007F22CB"/>
    <w:rsid w:val="007F2ED1"/>
    <w:rsid w:val="007F40D3"/>
    <w:rsid w:val="007F4CFC"/>
    <w:rsid w:val="007F565A"/>
    <w:rsid w:val="007F5B3E"/>
    <w:rsid w:val="007F5E9C"/>
    <w:rsid w:val="007F7CF0"/>
    <w:rsid w:val="00801790"/>
    <w:rsid w:val="008017E4"/>
    <w:rsid w:val="00801F0B"/>
    <w:rsid w:val="00803251"/>
    <w:rsid w:val="00803321"/>
    <w:rsid w:val="0080406D"/>
    <w:rsid w:val="00804849"/>
    <w:rsid w:val="00805529"/>
    <w:rsid w:val="00806266"/>
    <w:rsid w:val="008062DD"/>
    <w:rsid w:val="00806BA9"/>
    <w:rsid w:val="00807692"/>
    <w:rsid w:val="00807AA5"/>
    <w:rsid w:val="00807B9E"/>
    <w:rsid w:val="00807F32"/>
    <w:rsid w:val="008108D8"/>
    <w:rsid w:val="008117FB"/>
    <w:rsid w:val="00811FDB"/>
    <w:rsid w:val="0081281F"/>
    <w:rsid w:val="00814AB3"/>
    <w:rsid w:val="00815B4B"/>
    <w:rsid w:val="008173F9"/>
    <w:rsid w:val="00817F75"/>
    <w:rsid w:val="008213E2"/>
    <w:rsid w:val="00821DDF"/>
    <w:rsid w:val="008227AB"/>
    <w:rsid w:val="008268D7"/>
    <w:rsid w:val="00827171"/>
    <w:rsid w:val="008308C5"/>
    <w:rsid w:val="00832543"/>
    <w:rsid w:val="008326C6"/>
    <w:rsid w:val="00832BB4"/>
    <w:rsid w:val="00833012"/>
    <w:rsid w:val="00833046"/>
    <w:rsid w:val="00833682"/>
    <w:rsid w:val="008346E1"/>
    <w:rsid w:val="00834E83"/>
    <w:rsid w:val="00835E0D"/>
    <w:rsid w:val="00836166"/>
    <w:rsid w:val="00836CDD"/>
    <w:rsid w:val="00837416"/>
    <w:rsid w:val="00837E73"/>
    <w:rsid w:val="00840B67"/>
    <w:rsid w:val="00841E30"/>
    <w:rsid w:val="00841FCD"/>
    <w:rsid w:val="008420DB"/>
    <w:rsid w:val="00843F1C"/>
    <w:rsid w:val="008441A2"/>
    <w:rsid w:val="008450C2"/>
    <w:rsid w:val="00845A52"/>
    <w:rsid w:val="0084600C"/>
    <w:rsid w:val="00846CA8"/>
    <w:rsid w:val="00847591"/>
    <w:rsid w:val="008502CC"/>
    <w:rsid w:val="00850436"/>
    <w:rsid w:val="00851384"/>
    <w:rsid w:val="00851A87"/>
    <w:rsid w:val="00851E26"/>
    <w:rsid w:val="008526C4"/>
    <w:rsid w:val="00852E4B"/>
    <w:rsid w:val="00852FAB"/>
    <w:rsid w:val="00853DBF"/>
    <w:rsid w:val="0085470B"/>
    <w:rsid w:val="00855DAD"/>
    <w:rsid w:val="00855F90"/>
    <w:rsid w:val="0085735B"/>
    <w:rsid w:val="008575FA"/>
    <w:rsid w:val="00857EBA"/>
    <w:rsid w:val="00860DB3"/>
    <w:rsid w:val="00860E1A"/>
    <w:rsid w:val="00860F86"/>
    <w:rsid w:val="008616A7"/>
    <w:rsid w:val="00861B56"/>
    <w:rsid w:val="00862641"/>
    <w:rsid w:val="0086307E"/>
    <w:rsid w:val="00863192"/>
    <w:rsid w:val="008638CF"/>
    <w:rsid w:val="008639B5"/>
    <w:rsid w:val="0086404D"/>
    <w:rsid w:val="00864707"/>
    <w:rsid w:val="00864A6A"/>
    <w:rsid w:val="00864DE6"/>
    <w:rsid w:val="008653A7"/>
    <w:rsid w:val="00866764"/>
    <w:rsid w:val="008675BD"/>
    <w:rsid w:val="008703C6"/>
    <w:rsid w:val="00870CCC"/>
    <w:rsid w:val="00872EF5"/>
    <w:rsid w:val="00873583"/>
    <w:rsid w:val="00873DC5"/>
    <w:rsid w:val="00873E36"/>
    <w:rsid w:val="0087534D"/>
    <w:rsid w:val="00875F1F"/>
    <w:rsid w:val="0087729D"/>
    <w:rsid w:val="0087755D"/>
    <w:rsid w:val="0087769E"/>
    <w:rsid w:val="00877DE4"/>
    <w:rsid w:val="00877E98"/>
    <w:rsid w:val="00880ED0"/>
    <w:rsid w:val="0088288F"/>
    <w:rsid w:val="00882D81"/>
    <w:rsid w:val="00884395"/>
    <w:rsid w:val="00884971"/>
    <w:rsid w:val="00885343"/>
    <w:rsid w:val="00890361"/>
    <w:rsid w:val="008909EB"/>
    <w:rsid w:val="00890F19"/>
    <w:rsid w:val="008917F2"/>
    <w:rsid w:val="0089371F"/>
    <w:rsid w:val="00894537"/>
    <w:rsid w:val="00895152"/>
    <w:rsid w:val="00896AB1"/>
    <w:rsid w:val="008A06A3"/>
    <w:rsid w:val="008A2A82"/>
    <w:rsid w:val="008A443A"/>
    <w:rsid w:val="008A460D"/>
    <w:rsid w:val="008A5269"/>
    <w:rsid w:val="008A5377"/>
    <w:rsid w:val="008A73C8"/>
    <w:rsid w:val="008A78D4"/>
    <w:rsid w:val="008B14DC"/>
    <w:rsid w:val="008B2866"/>
    <w:rsid w:val="008B2C4F"/>
    <w:rsid w:val="008B3EC1"/>
    <w:rsid w:val="008B4F87"/>
    <w:rsid w:val="008B5719"/>
    <w:rsid w:val="008B5D34"/>
    <w:rsid w:val="008B6406"/>
    <w:rsid w:val="008B74CA"/>
    <w:rsid w:val="008B7664"/>
    <w:rsid w:val="008C0AF2"/>
    <w:rsid w:val="008C1865"/>
    <w:rsid w:val="008C18BE"/>
    <w:rsid w:val="008C2CDC"/>
    <w:rsid w:val="008C36FC"/>
    <w:rsid w:val="008C38B6"/>
    <w:rsid w:val="008C413A"/>
    <w:rsid w:val="008C70AE"/>
    <w:rsid w:val="008C7ECD"/>
    <w:rsid w:val="008D0E9E"/>
    <w:rsid w:val="008D109B"/>
    <w:rsid w:val="008D1261"/>
    <w:rsid w:val="008D16D6"/>
    <w:rsid w:val="008D1AFA"/>
    <w:rsid w:val="008D2558"/>
    <w:rsid w:val="008D3BA5"/>
    <w:rsid w:val="008D4E25"/>
    <w:rsid w:val="008D61D9"/>
    <w:rsid w:val="008E0113"/>
    <w:rsid w:val="008E0810"/>
    <w:rsid w:val="008E126C"/>
    <w:rsid w:val="008E1474"/>
    <w:rsid w:val="008E2569"/>
    <w:rsid w:val="008E2F80"/>
    <w:rsid w:val="008E31EC"/>
    <w:rsid w:val="008E350B"/>
    <w:rsid w:val="008E4669"/>
    <w:rsid w:val="008E485B"/>
    <w:rsid w:val="008E60B9"/>
    <w:rsid w:val="008E79F8"/>
    <w:rsid w:val="008F15C4"/>
    <w:rsid w:val="008F1B19"/>
    <w:rsid w:val="008F1D26"/>
    <w:rsid w:val="008F1EBB"/>
    <w:rsid w:val="008F5B80"/>
    <w:rsid w:val="009000AA"/>
    <w:rsid w:val="00900C5B"/>
    <w:rsid w:val="009012A5"/>
    <w:rsid w:val="00901601"/>
    <w:rsid w:val="009016DF"/>
    <w:rsid w:val="00901877"/>
    <w:rsid w:val="00902D0C"/>
    <w:rsid w:val="009030CE"/>
    <w:rsid w:val="00903150"/>
    <w:rsid w:val="009041AA"/>
    <w:rsid w:val="0090508C"/>
    <w:rsid w:val="00905BE0"/>
    <w:rsid w:val="00905C87"/>
    <w:rsid w:val="009062BF"/>
    <w:rsid w:val="00907300"/>
    <w:rsid w:val="00907B2D"/>
    <w:rsid w:val="009105E3"/>
    <w:rsid w:val="00910B54"/>
    <w:rsid w:val="0091145E"/>
    <w:rsid w:val="0091174F"/>
    <w:rsid w:val="00912700"/>
    <w:rsid w:val="00912AEA"/>
    <w:rsid w:val="00915810"/>
    <w:rsid w:val="00915842"/>
    <w:rsid w:val="00916AD7"/>
    <w:rsid w:val="00916C95"/>
    <w:rsid w:val="00917166"/>
    <w:rsid w:val="009175CD"/>
    <w:rsid w:val="009216B5"/>
    <w:rsid w:val="0092247C"/>
    <w:rsid w:val="00923110"/>
    <w:rsid w:val="009242D5"/>
    <w:rsid w:val="00924C17"/>
    <w:rsid w:val="00924E59"/>
    <w:rsid w:val="0092547B"/>
    <w:rsid w:val="009300DB"/>
    <w:rsid w:val="00930AF3"/>
    <w:rsid w:val="009316CE"/>
    <w:rsid w:val="00931BDB"/>
    <w:rsid w:val="009321F8"/>
    <w:rsid w:val="00932595"/>
    <w:rsid w:val="0093306A"/>
    <w:rsid w:val="009336B9"/>
    <w:rsid w:val="00935362"/>
    <w:rsid w:val="00935E95"/>
    <w:rsid w:val="00936207"/>
    <w:rsid w:val="009369D4"/>
    <w:rsid w:val="009377F0"/>
    <w:rsid w:val="00937D47"/>
    <w:rsid w:val="0094250D"/>
    <w:rsid w:val="00942652"/>
    <w:rsid w:val="00942CDB"/>
    <w:rsid w:val="00942FD6"/>
    <w:rsid w:val="0094323F"/>
    <w:rsid w:val="00944FCA"/>
    <w:rsid w:val="009463A2"/>
    <w:rsid w:val="009509F9"/>
    <w:rsid w:val="00951F7A"/>
    <w:rsid w:val="0095269C"/>
    <w:rsid w:val="0095335B"/>
    <w:rsid w:val="009537DE"/>
    <w:rsid w:val="009556EE"/>
    <w:rsid w:val="00956F59"/>
    <w:rsid w:val="00957889"/>
    <w:rsid w:val="00961B7E"/>
    <w:rsid w:val="00961C9E"/>
    <w:rsid w:val="00962749"/>
    <w:rsid w:val="00963BDF"/>
    <w:rsid w:val="00963E46"/>
    <w:rsid w:val="0096429C"/>
    <w:rsid w:val="00965D09"/>
    <w:rsid w:val="00966634"/>
    <w:rsid w:val="00966917"/>
    <w:rsid w:val="00966BF2"/>
    <w:rsid w:val="009706AD"/>
    <w:rsid w:val="009713A6"/>
    <w:rsid w:val="009725AF"/>
    <w:rsid w:val="00972FFF"/>
    <w:rsid w:val="0097308C"/>
    <w:rsid w:val="0097344A"/>
    <w:rsid w:val="00973941"/>
    <w:rsid w:val="00975E91"/>
    <w:rsid w:val="00976AC2"/>
    <w:rsid w:val="00977474"/>
    <w:rsid w:val="009801F4"/>
    <w:rsid w:val="0098026F"/>
    <w:rsid w:val="00980523"/>
    <w:rsid w:val="009807E8"/>
    <w:rsid w:val="009813A5"/>
    <w:rsid w:val="00981C20"/>
    <w:rsid w:val="00981FBE"/>
    <w:rsid w:val="00982AFF"/>
    <w:rsid w:val="00984272"/>
    <w:rsid w:val="00984931"/>
    <w:rsid w:val="00984D30"/>
    <w:rsid w:val="00985657"/>
    <w:rsid w:val="00985AF6"/>
    <w:rsid w:val="00986057"/>
    <w:rsid w:val="009862A1"/>
    <w:rsid w:val="009864A2"/>
    <w:rsid w:val="00986CD8"/>
    <w:rsid w:val="009876BB"/>
    <w:rsid w:val="00987ADB"/>
    <w:rsid w:val="00987FAA"/>
    <w:rsid w:val="00990D3D"/>
    <w:rsid w:val="009917D1"/>
    <w:rsid w:val="00992A83"/>
    <w:rsid w:val="009954AB"/>
    <w:rsid w:val="00995871"/>
    <w:rsid w:val="009964CE"/>
    <w:rsid w:val="00996B0D"/>
    <w:rsid w:val="00996BA8"/>
    <w:rsid w:val="0099713F"/>
    <w:rsid w:val="00997841"/>
    <w:rsid w:val="009A0574"/>
    <w:rsid w:val="009A1583"/>
    <w:rsid w:val="009A193D"/>
    <w:rsid w:val="009A1D8E"/>
    <w:rsid w:val="009A28CD"/>
    <w:rsid w:val="009A337A"/>
    <w:rsid w:val="009A3F85"/>
    <w:rsid w:val="009A5222"/>
    <w:rsid w:val="009A55C5"/>
    <w:rsid w:val="009A5701"/>
    <w:rsid w:val="009A5AC6"/>
    <w:rsid w:val="009A5CBA"/>
    <w:rsid w:val="009B02B1"/>
    <w:rsid w:val="009B0BB4"/>
    <w:rsid w:val="009B1751"/>
    <w:rsid w:val="009B1EC2"/>
    <w:rsid w:val="009B221A"/>
    <w:rsid w:val="009B3295"/>
    <w:rsid w:val="009B39BF"/>
    <w:rsid w:val="009B4B71"/>
    <w:rsid w:val="009B5E43"/>
    <w:rsid w:val="009B623A"/>
    <w:rsid w:val="009B6680"/>
    <w:rsid w:val="009B6867"/>
    <w:rsid w:val="009C0B51"/>
    <w:rsid w:val="009C164D"/>
    <w:rsid w:val="009C1C23"/>
    <w:rsid w:val="009C4B97"/>
    <w:rsid w:val="009C50D3"/>
    <w:rsid w:val="009C6C24"/>
    <w:rsid w:val="009C78A8"/>
    <w:rsid w:val="009C7F49"/>
    <w:rsid w:val="009D0358"/>
    <w:rsid w:val="009D0AB0"/>
    <w:rsid w:val="009D1DF9"/>
    <w:rsid w:val="009D24DC"/>
    <w:rsid w:val="009D327A"/>
    <w:rsid w:val="009D3BDA"/>
    <w:rsid w:val="009D3FC8"/>
    <w:rsid w:val="009D5208"/>
    <w:rsid w:val="009D6975"/>
    <w:rsid w:val="009E0028"/>
    <w:rsid w:val="009E18BA"/>
    <w:rsid w:val="009E2EAB"/>
    <w:rsid w:val="009E34BA"/>
    <w:rsid w:val="009E3849"/>
    <w:rsid w:val="009E4AAD"/>
    <w:rsid w:val="009E55C1"/>
    <w:rsid w:val="009E7DF0"/>
    <w:rsid w:val="009F1862"/>
    <w:rsid w:val="009F1A87"/>
    <w:rsid w:val="009F1F27"/>
    <w:rsid w:val="009F21C0"/>
    <w:rsid w:val="009F3045"/>
    <w:rsid w:val="009F4524"/>
    <w:rsid w:val="009F4716"/>
    <w:rsid w:val="009F4A9D"/>
    <w:rsid w:val="009F4BB7"/>
    <w:rsid w:val="009F6C62"/>
    <w:rsid w:val="009F7200"/>
    <w:rsid w:val="00A025FF"/>
    <w:rsid w:val="00A026CC"/>
    <w:rsid w:val="00A02F1E"/>
    <w:rsid w:val="00A0457C"/>
    <w:rsid w:val="00A046FB"/>
    <w:rsid w:val="00A05F47"/>
    <w:rsid w:val="00A064FA"/>
    <w:rsid w:val="00A06B70"/>
    <w:rsid w:val="00A10460"/>
    <w:rsid w:val="00A11F33"/>
    <w:rsid w:val="00A12170"/>
    <w:rsid w:val="00A122F3"/>
    <w:rsid w:val="00A12C5A"/>
    <w:rsid w:val="00A12D4F"/>
    <w:rsid w:val="00A143AF"/>
    <w:rsid w:val="00A15180"/>
    <w:rsid w:val="00A153FC"/>
    <w:rsid w:val="00A1618A"/>
    <w:rsid w:val="00A17113"/>
    <w:rsid w:val="00A2009F"/>
    <w:rsid w:val="00A2013D"/>
    <w:rsid w:val="00A208E2"/>
    <w:rsid w:val="00A2190E"/>
    <w:rsid w:val="00A21992"/>
    <w:rsid w:val="00A21B6B"/>
    <w:rsid w:val="00A21CEE"/>
    <w:rsid w:val="00A23697"/>
    <w:rsid w:val="00A23D04"/>
    <w:rsid w:val="00A24E6C"/>
    <w:rsid w:val="00A2577A"/>
    <w:rsid w:val="00A26FA2"/>
    <w:rsid w:val="00A319DE"/>
    <w:rsid w:val="00A31EFB"/>
    <w:rsid w:val="00A321CC"/>
    <w:rsid w:val="00A32B9C"/>
    <w:rsid w:val="00A330F4"/>
    <w:rsid w:val="00A33355"/>
    <w:rsid w:val="00A3370D"/>
    <w:rsid w:val="00A33AE1"/>
    <w:rsid w:val="00A35D0E"/>
    <w:rsid w:val="00A36C58"/>
    <w:rsid w:val="00A3714B"/>
    <w:rsid w:val="00A37179"/>
    <w:rsid w:val="00A41CB9"/>
    <w:rsid w:val="00A41F2A"/>
    <w:rsid w:val="00A42857"/>
    <w:rsid w:val="00A43467"/>
    <w:rsid w:val="00A44CB5"/>
    <w:rsid w:val="00A45312"/>
    <w:rsid w:val="00A45DA5"/>
    <w:rsid w:val="00A46315"/>
    <w:rsid w:val="00A465AE"/>
    <w:rsid w:val="00A4757E"/>
    <w:rsid w:val="00A5125F"/>
    <w:rsid w:val="00A51551"/>
    <w:rsid w:val="00A51FFA"/>
    <w:rsid w:val="00A53EBF"/>
    <w:rsid w:val="00A543CC"/>
    <w:rsid w:val="00A54905"/>
    <w:rsid w:val="00A55E1B"/>
    <w:rsid w:val="00A56066"/>
    <w:rsid w:val="00A561D9"/>
    <w:rsid w:val="00A56F41"/>
    <w:rsid w:val="00A57500"/>
    <w:rsid w:val="00A614EF"/>
    <w:rsid w:val="00A62723"/>
    <w:rsid w:val="00A648B7"/>
    <w:rsid w:val="00A66078"/>
    <w:rsid w:val="00A66114"/>
    <w:rsid w:val="00A661DB"/>
    <w:rsid w:val="00A72891"/>
    <w:rsid w:val="00A72C90"/>
    <w:rsid w:val="00A736A1"/>
    <w:rsid w:val="00A74540"/>
    <w:rsid w:val="00A747DC"/>
    <w:rsid w:val="00A74DAA"/>
    <w:rsid w:val="00A75223"/>
    <w:rsid w:val="00A76002"/>
    <w:rsid w:val="00A762B2"/>
    <w:rsid w:val="00A76371"/>
    <w:rsid w:val="00A763F3"/>
    <w:rsid w:val="00A76572"/>
    <w:rsid w:val="00A77176"/>
    <w:rsid w:val="00A773E6"/>
    <w:rsid w:val="00A77E74"/>
    <w:rsid w:val="00A802C3"/>
    <w:rsid w:val="00A8047B"/>
    <w:rsid w:val="00A81195"/>
    <w:rsid w:val="00A81512"/>
    <w:rsid w:val="00A82BA6"/>
    <w:rsid w:val="00A82CAF"/>
    <w:rsid w:val="00A83083"/>
    <w:rsid w:val="00A83A22"/>
    <w:rsid w:val="00A8462A"/>
    <w:rsid w:val="00A91680"/>
    <w:rsid w:val="00A9243F"/>
    <w:rsid w:val="00A9356F"/>
    <w:rsid w:val="00A935DC"/>
    <w:rsid w:val="00A959B0"/>
    <w:rsid w:val="00A97F25"/>
    <w:rsid w:val="00AA28F2"/>
    <w:rsid w:val="00AA2959"/>
    <w:rsid w:val="00AA2BBB"/>
    <w:rsid w:val="00AA3CFB"/>
    <w:rsid w:val="00AA4120"/>
    <w:rsid w:val="00AA4CCB"/>
    <w:rsid w:val="00AA506D"/>
    <w:rsid w:val="00AA65A6"/>
    <w:rsid w:val="00AA6D9F"/>
    <w:rsid w:val="00AA6DDB"/>
    <w:rsid w:val="00AA7761"/>
    <w:rsid w:val="00AB0A5A"/>
    <w:rsid w:val="00AB18CE"/>
    <w:rsid w:val="00AB1BE9"/>
    <w:rsid w:val="00AB2543"/>
    <w:rsid w:val="00AB36C1"/>
    <w:rsid w:val="00AB3767"/>
    <w:rsid w:val="00AB47A7"/>
    <w:rsid w:val="00AB4821"/>
    <w:rsid w:val="00AB55CF"/>
    <w:rsid w:val="00AB55D9"/>
    <w:rsid w:val="00AB59F6"/>
    <w:rsid w:val="00AB5BA5"/>
    <w:rsid w:val="00AB7277"/>
    <w:rsid w:val="00AB72F6"/>
    <w:rsid w:val="00AC04B0"/>
    <w:rsid w:val="00AC0522"/>
    <w:rsid w:val="00AC07FF"/>
    <w:rsid w:val="00AC1880"/>
    <w:rsid w:val="00AC1B0C"/>
    <w:rsid w:val="00AC5477"/>
    <w:rsid w:val="00AC5683"/>
    <w:rsid w:val="00AC7C86"/>
    <w:rsid w:val="00AC7D81"/>
    <w:rsid w:val="00AD0E9F"/>
    <w:rsid w:val="00AD1046"/>
    <w:rsid w:val="00AD17B5"/>
    <w:rsid w:val="00AD1AE0"/>
    <w:rsid w:val="00AD1DAD"/>
    <w:rsid w:val="00AD20DA"/>
    <w:rsid w:val="00AD38C8"/>
    <w:rsid w:val="00AD5524"/>
    <w:rsid w:val="00AD6387"/>
    <w:rsid w:val="00AD66E0"/>
    <w:rsid w:val="00AD709A"/>
    <w:rsid w:val="00AD78AE"/>
    <w:rsid w:val="00AD7B06"/>
    <w:rsid w:val="00AE03ED"/>
    <w:rsid w:val="00AE251F"/>
    <w:rsid w:val="00AE2E0F"/>
    <w:rsid w:val="00AE3A5F"/>
    <w:rsid w:val="00AE3C22"/>
    <w:rsid w:val="00AE46E1"/>
    <w:rsid w:val="00AE4969"/>
    <w:rsid w:val="00AE4B48"/>
    <w:rsid w:val="00AE4E33"/>
    <w:rsid w:val="00AE52AF"/>
    <w:rsid w:val="00AE627B"/>
    <w:rsid w:val="00AE62C5"/>
    <w:rsid w:val="00AE6B19"/>
    <w:rsid w:val="00AF0809"/>
    <w:rsid w:val="00AF1C5B"/>
    <w:rsid w:val="00AF1F8B"/>
    <w:rsid w:val="00AF2074"/>
    <w:rsid w:val="00AF2EBE"/>
    <w:rsid w:val="00AF4698"/>
    <w:rsid w:val="00AF4C98"/>
    <w:rsid w:val="00AF5632"/>
    <w:rsid w:val="00AF695A"/>
    <w:rsid w:val="00AF705E"/>
    <w:rsid w:val="00AF7A79"/>
    <w:rsid w:val="00AF7DBC"/>
    <w:rsid w:val="00B005AD"/>
    <w:rsid w:val="00B00AFB"/>
    <w:rsid w:val="00B012CA"/>
    <w:rsid w:val="00B01E02"/>
    <w:rsid w:val="00B02CC8"/>
    <w:rsid w:val="00B05D8C"/>
    <w:rsid w:val="00B06024"/>
    <w:rsid w:val="00B06048"/>
    <w:rsid w:val="00B06D4E"/>
    <w:rsid w:val="00B07A30"/>
    <w:rsid w:val="00B115C3"/>
    <w:rsid w:val="00B1170E"/>
    <w:rsid w:val="00B130BE"/>
    <w:rsid w:val="00B1497D"/>
    <w:rsid w:val="00B150B2"/>
    <w:rsid w:val="00B1555C"/>
    <w:rsid w:val="00B1595B"/>
    <w:rsid w:val="00B204EB"/>
    <w:rsid w:val="00B21F34"/>
    <w:rsid w:val="00B21FFC"/>
    <w:rsid w:val="00B230E3"/>
    <w:rsid w:val="00B24A58"/>
    <w:rsid w:val="00B255AA"/>
    <w:rsid w:val="00B25A1E"/>
    <w:rsid w:val="00B26199"/>
    <w:rsid w:val="00B262F1"/>
    <w:rsid w:val="00B2659D"/>
    <w:rsid w:val="00B272D0"/>
    <w:rsid w:val="00B31769"/>
    <w:rsid w:val="00B321D6"/>
    <w:rsid w:val="00B356AB"/>
    <w:rsid w:val="00B36D58"/>
    <w:rsid w:val="00B4000F"/>
    <w:rsid w:val="00B40405"/>
    <w:rsid w:val="00B40E65"/>
    <w:rsid w:val="00B42BC1"/>
    <w:rsid w:val="00B43725"/>
    <w:rsid w:val="00B43CCF"/>
    <w:rsid w:val="00B440A3"/>
    <w:rsid w:val="00B46909"/>
    <w:rsid w:val="00B47469"/>
    <w:rsid w:val="00B47A6D"/>
    <w:rsid w:val="00B47AC9"/>
    <w:rsid w:val="00B51063"/>
    <w:rsid w:val="00B52A12"/>
    <w:rsid w:val="00B52CBF"/>
    <w:rsid w:val="00B54C96"/>
    <w:rsid w:val="00B55EA9"/>
    <w:rsid w:val="00B5621E"/>
    <w:rsid w:val="00B57999"/>
    <w:rsid w:val="00B6076F"/>
    <w:rsid w:val="00B6196F"/>
    <w:rsid w:val="00B61D66"/>
    <w:rsid w:val="00B61FBE"/>
    <w:rsid w:val="00B62383"/>
    <w:rsid w:val="00B63B14"/>
    <w:rsid w:val="00B63DAD"/>
    <w:rsid w:val="00B63E4C"/>
    <w:rsid w:val="00B642B9"/>
    <w:rsid w:val="00B64313"/>
    <w:rsid w:val="00B72D28"/>
    <w:rsid w:val="00B73380"/>
    <w:rsid w:val="00B7376D"/>
    <w:rsid w:val="00B74B79"/>
    <w:rsid w:val="00B75974"/>
    <w:rsid w:val="00B77129"/>
    <w:rsid w:val="00B776A8"/>
    <w:rsid w:val="00B80851"/>
    <w:rsid w:val="00B80CED"/>
    <w:rsid w:val="00B811A6"/>
    <w:rsid w:val="00B81A19"/>
    <w:rsid w:val="00B823FD"/>
    <w:rsid w:val="00B82F38"/>
    <w:rsid w:val="00B83431"/>
    <w:rsid w:val="00B83C0C"/>
    <w:rsid w:val="00B83D57"/>
    <w:rsid w:val="00B8402F"/>
    <w:rsid w:val="00B84835"/>
    <w:rsid w:val="00B84946"/>
    <w:rsid w:val="00B8652F"/>
    <w:rsid w:val="00B8718F"/>
    <w:rsid w:val="00B87426"/>
    <w:rsid w:val="00B90EAB"/>
    <w:rsid w:val="00B9162B"/>
    <w:rsid w:val="00B9233D"/>
    <w:rsid w:val="00B92466"/>
    <w:rsid w:val="00B9289F"/>
    <w:rsid w:val="00B93877"/>
    <w:rsid w:val="00B938B2"/>
    <w:rsid w:val="00B9391F"/>
    <w:rsid w:val="00B94158"/>
    <w:rsid w:val="00B94B34"/>
    <w:rsid w:val="00B955A1"/>
    <w:rsid w:val="00B95E5F"/>
    <w:rsid w:val="00B960DF"/>
    <w:rsid w:val="00B97060"/>
    <w:rsid w:val="00B9736E"/>
    <w:rsid w:val="00B97D41"/>
    <w:rsid w:val="00BA02A2"/>
    <w:rsid w:val="00BA0F8B"/>
    <w:rsid w:val="00BA10EF"/>
    <w:rsid w:val="00BA1837"/>
    <w:rsid w:val="00BA190F"/>
    <w:rsid w:val="00BA38E7"/>
    <w:rsid w:val="00BA3AF3"/>
    <w:rsid w:val="00BA3F64"/>
    <w:rsid w:val="00BA5D49"/>
    <w:rsid w:val="00BA5F8D"/>
    <w:rsid w:val="00BA6234"/>
    <w:rsid w:val="00BA6C37"/>
    <w:rsid w:val="00BA76D4"/>
    <w:rsid w:val="00BA77A4"/>
    <w:rsid w:val="00BB0B7D"/>
    <w:rsid w:val="00BB129C"/>
    <w:rsid w:val="00BB23BC"/>
    <w:rsid w:val="00BB2FAA"/>
    <w:rsid w:val="00BB4967"/>
    <w:rsid w:val="00BB5429"/>
    <w:rsid w:val="00BB5C6C"/>
    <w:rsid w:val="00BB5C7C"/>
    <w:rsid w:val="00BB6BFE"/>
    <w:rsid w:val="00BB7377"/>
    <w:rsid w:val="00BB7F18"/>
    <w:rsid w:val="00BC025A"/>
    <w:rsid w:val="00BC02A4"/>
    <w:rsid w:val="00BC0450"/>
    <w:rsid w:val="00BC05A4"/>
    <w:rsid w:val="00BC07E6"/>
    <w:rsid w:val="00BC0B81"/>
    <w:rsid w:val="00BC320E"/>
    <w:rsid w:val="00BC3A3C"/>
    <w:rsid w:val="00BC3D4F"/>
    <w:rsid w:val="00BC41E3"/>
    <w:rsid w:val="00BC5161"/>
    <w:rsid w:val="00BC536F"/>
    <w:rsid w:val="00BC592D"/>
    <w:rsid w:val="00BC6430"/>
    <w:rsid w:val="00BC644E"/>
    <w:rsid w:val="00BC686E"/>
    <w:rsid w:val="00BC6B43"/>
    <w:rsid w:val="00BC765F"/>
    <w:rsid w:val="00BC7E01"/>
    <w:rsid w:val="00BD1799"/>
    <w:rsid w:val="00BD40EF"/>
    <w:rsid w:val="00BD49AD"/>
    <w:rsid w:val="00BD4D60"/>
    <w:rsid w:val="00BD511E"/>
    <w:rsid w:val="00BD5D93"/>
    <w:rsid w:val="00BD6324"/>
    <w:rsid w:val="00BD741C"/>
    <w:rsid w:val="00BD7E93"/>
    <w:rsid w:val="00BE177C"/>
    <w:rsid w:val="00BE27E6"/>
    <w:rsid w:val="00BE2ECA"/>
    <w:rsid w:val="00BE36DA"/>
    <w:rsid w:val="00BE3E26"/>
    <w:rsid w:val="00BE776B"/>
    <w:rsid w:val="00BE78FB"/>
    <w:rsid w:val="00BE7DF2"/>
    <w:rsid w:val="00BE7F26"/>
    <w:rsid w:val="00BF006D"/>
    <w:rsid w:val="00BF25F5"/>
    <w:rsid w:val="00BF2990"/>
    <w:rsid w:val="00BF2F74"/>
    <w:rsid w:val="00BF32E0"/>
    <w:rsid w:val="00BF383E"/>
    <w:rsid w:val="00BF4D8E"/>
    <w:rsid w:val="00BF5C5F"/>
    <w:rsid w:val="00BF5EF4"/>
    <w:rsid w:val="00BF6549"/>
    <w:rsid w:val="00BF680A"/>
    <w:rsid w:val="00BF6976"/>
    <w:rsid w:val="00BF79E7"/>
    <w:rsid w:val="00BF7E1C"/>
    <w:rsid w:val="00BF7EFD"/>
    <w:rsid w:val="00C01387"/>
    <w:rsid w:val="00C0196D"/>
    <w:rsid w:val="00C01A95"/>
    <w:rsid w:val="00C043A9"/>
    <w:rsid w:val="00C0493B"/>
    <w:rsid w:val="00C04F59"/>
    <w:rsid w:val="00C05D8B"/>
    <w:rsid w:val="00C05F65"/>
    <w:rsid w:val="00C063EB"/>
    <w:rsid w:val="00C065BC"/>
    <w:rsid w:val="00C06822"/>
    <w:rsid w:val="00C069AC"/>
    <w:rsid w:val="00C070D4"/>
    <w:rsid w:val="00C07508"/>
    <w:rsid w:val="00C076F8"/>
    <w:rsid w:val="00C07958"/>
    <w:rsid w:val="00C101D7"/>
    <w:rsid w:val="00C10281"/>
    <w:rsid w:val="00C10D65"/>
    <w:rsid w:val="00C113E8"/>
    <w:rsid w:val="00C119EF"/>
    <w:rsid w:val="00C11C15"/>
    <w:rsid w:val="00C13118"/>
    <w:rsid w:val="00C1395A"/>
    <w:rsid w:val="00C13BC5"/>
    <w:rsid w:val="00C142A5"/>
    <w:rsid w:val="00C15C97"/>
    <w:rsid w:val="00C16535"/>
    <w:rsid w:val="00C170BC"/>
    <w:rsid w:val="00C171E1"/>
    <w:rsid w:val="00C172F1"/>
    <w:rsid w:val="00C20B7D"/>
    <w:rsid w:val="00C21825"/>
    <w:rsid w:val="00C2277E"/>
    <w:rsid w:val="00C23160"/>
    <w:rsid w:val="00C25653"/>
    <w:rsid w:val="00C260BB"/>
    <w:rsid w:val="00C263CF"/>
    <w:rsid w:val="00C27300"/>
    <w:rsid w:val="00C279BA"/>
    <w:rsid w:val="00C30CB9"/>
    <w:rsid w:val="00C31F71"/>
    <w:rsid w:val="00C320D2"/>
    <w:rsid w:val="00C32872"/>
    <w:rsid w:val="00C335B9"/>
    <w:rsid w:val="00C33996"/>
    <w:rsid w:val="00C348F3"/>
    <w:rsid w:val="00C37718"/>
    <w:rsid w:val="00C37792"/>
    <w:rsid w:val="00C40D7E"/>
    <w:rsid w:val="00C43107"/>
    <w:rsid w:val="00C438D1"/>
    <w:rsid w:val="00C43B1F"/>
    <w:rsid w:val="00C44A83"/>
    <w:rsid w:val="00C45F83"/>
    <w:rsid w:val="00C4713A"/>
    <w:rsid w:val="00C47ED4"/>
    <w:rsid w:val="00C5011C"/>
    <w:rsid w:val="00C5040E"/>
    <w:rsid w:val="00C50418"/>
    <w:rsid w:val="00C5083A"/>
    <w:rsid w:val="00C50F2A"/>
    <w:rsid w:val="00C51F7F"/>
    <w:rsid w:val="00C54A43"/>
    <w:rsid w:val="00C55B64"/>
    <w:rsid w:val="00C55B9E"/>
    <w:rsid w:val="00C57772"/>
    <w:rsid w:val="00C5778D"/>
    <w:rsid w:val="00C57DAE"/>
    <w:rsid w:val="00C57DD2"/>
    <w:rsid w:val="00C600CE"/>
    <w:rsid w:val="00C608FE"/>
    <w:rsid w:val="00C61B3C"/>
    <w:rsid w:val="00C62430"/>
    <w:rsid w:val="00C62D34"/>
    <w:rsid w:val="00C6322E"/>
    <w:rsid w:val="00C63A80"/>
    <w:rsid w:val="00C648FD"/>
    <w:rsid w:val="00C64F46"/>
    <w:rsid w:val="00C65D7F"/>
    <w:rsid w:val="00C66A57"/>
    <w:rsid w:val="00C6723A"/>
    <w:rsid w:val="00C673D8"/>
    <w:rsid w:val="00C67697"/>
    <w:rsid w:val="00C67A16"/>
    <w:rsid w:val="00C67E5A"/>
    <w:rsid w:val="00C703D5"/>
    <w:rsid w:val="00C7225C"/>
    <w:rsid w:val="00C739DF"/>
    <w:rsid w:val="00C74BE8"/>
    <w:rsid w:val="00C75644"/>
    <w:rsid w:val="00C77036"/>
    <w:rsid w:val="00C813A9"/>
    <w:rsid w:val="00C83591"/>
    <w:rsid w:val="00C8378D"/>
    <w:rsid w:val="00C85FC3"/>
    <w:rsid w:val="00C86C21"/>
    <w:rsid w:val="00C91745"/>
    <w:rsid w:val="00C91806"/>
    <w:rsid w:val="00C91C63"/>
    <w:rsid w:val="00C92B04"/>
    <w:rsid w:val="00C952EF"/>
    <w:rsid w:val="00C95A98"/>
    <w:rsid w:val="00C95E5D"/>
    <w:rsid w:val="00C963CD"/>
    <w:rsid w:val="00C96774"/>
    <w:rsid w:val="00C967FB"/>
    <w:rsid w:val="00C96D36"/>
    <w:rsid w:val="00C96FC1"/>
    <w:rsid w:val="00CA0446"/>
    <w:rsid w:val="00CA1D7A"/>
    <w:rsid w:val="00CA22CD"/>
    <w:rsid w:val="00CA2728"/>
    <w:rsid w:val="00CA2D54"/>
    <w:rsid w:val="00CA359E"/>
    <w:rsid w:val="00CA3D71"/>
    <w:rsid w:val="00CA4012"/>
    <w:rsid w:val="00CA4775"/>
    <w:rsid w:val="00CA4E5E"/>
    <w:rsid w:val="00CA73EC"/>
    <w:rsid w:val="00CB13E7"/>
    <w:rsid w:val="00CB20F4"/>
    <w:rsid w:val="00CB34DB"/>
    <w:rsid w:val="00CB3B9A"/>
    <w:rsid w:val="00CB3E6B"/>
    <w:rsid w:val="00CB409B"/>
    <w:rsid w:val="00CB466F"/>
    <w:rsid w:val="00CB5384"/>
    <w:rsid w:val="00CB5565"/>
    <w:rsid w:val="00CB5816"/>
    <w:rsid w:val="00CB5F0B"/>
    <w:rsid w:val="00CB680E"/>
    <w:rsid w:val="00CB6A90"/>
    <w:rsid w:val="00CB7875"/>
    <w:rsid w:val="00CB7990"/>
    <w:rsid w:val="00CB7CCA"/>
    <w:rsid w:val="00CC0594"/>
    <w:rsid w:val="00CC0BE5"/>
    <w:rsid w:val="00CC0CCE"/>
    <w:rsid w:val="00CC17BF"/>
    <w:rsid w:val="00CC1C3E"/>
    <w:rsid w:val="00CC26ED"/>
    <w:rsid w:val="00CC3721"/>
    <w:rsid w:val="00CC3DB1"/>
    <w:rsid w:val="00CC3F7E"/>
    <w:rsid w:val="00CC4511"/>
    <w:rsid w:val="00CC4DC0"/>
    <w:rsid w:val="00CC4ED4"/>
    <w:rsid w:val="00CC529A"/>
    <w:rsid w:val="00CC57C3"/>
    <w:rsid w:val="00CC5CEB"/>
    <w:rsid w:val="00CC5FCB"/>
    <w:rsid w:val="00CC7994"/>
    <w:rsid w:val="00CC7A52"/>
    <w:rsid w:val="00CC7ADF"/>
    <w:rsid w:val="00CC7D2E"/>
    <w:rsid w:val="00CD0A9D"/>
    <w:rsid w:val="00CD225A"/>
    <w:rsid w:val="00CD2B11"/>
    <w:rsid w:val="00CD2E60"/>
    <w:rsid w:val="00CD30D0"/>
    <w:rsid w:val="00CD3373"/>
    <w:rsid w:val="00CD3EDE"/>
    <w:rsid w:val="00CD449E"/>
    <w:rsid w:val="00CD5087"/>
    <w:rsid w:val="00CD5B13"/>
    <w:rsid w:val="00CD743D"/>
    <w:rsid w:val="00CE0576"/>
    <w:rsid w:val="00CE1C2E"/>
    <w:rsid w:val="00CE329B"/>
    <w:rsid w:val="00CE4291"/>
    <w:rsid w:val="00CE4C05"/>
    <w:rsid w:val="00CE57D1"/>
    <w:rsid w:val="00CE7460"/>
    <w:rsid w:val="00CF003E"/>
    <w:rsid w:val="00CF01BE"/>
    <w:rsid w:val="00CF0E83"/>
    <w:rsid w:val="00CF10D6"/>
    <w:rsid w:val="00CF182F"/>
    <w:rsid w:val="00CF1977"/>
    <w:rsid w:val="00CF2516"/>
    <w:rsid w:val="00CF27BB"/>
    <w:rsid w:val="00CF4D85"/>
    <w:rsid w:val="00CF5A17"/>
    <w:rsid w:val="00CF68B5"/>
    <w:rsid w:val="00CF69AC"/>
    <w:rsid w:val="00CF72E5"/>
    <w:rsid w:val="00CF7633"/>
    <w:rsid w:val="00CF78EE"/>
    <w:rsid w:val="00D00001"/>
    <w:rsid w:val="00D015D2"/>
    <w:rsid w:val="00D017D1"/>
    <w:rsid w:val="00D01DC3"/>
    <w:rsid w:val="00D04F1B"/>
    <w:rsid w:val="00D057DD"/>
    <w:rsid w:val="00D05C7E"/>
    <w:rsid w:val="00D06771"/>
    <w:rsid w:val="00D06AD4"/>
    <w:rsid w:val="00D06C6F"/>
    <w:rsid w:val="00D0763E"/>
    <w:rsid w:val="00D118AD"/>
    <w:rsid w:val="00D11C73"/>
    <w:rsid w:val="00D11F5E"/>
    <w:rsid w:val="00D122B9"/>
    <w:rsid w:val="00D13D52"/>
    <w:rsid w:val="00D14220"/>
    <w:rsid w:val="00D14C18"/>
    <w:rsid w:val="00D15F25"/>
    <w:rsid w:val="00D170F3"/>
    <w:rsid w:val="00D17CE5"/>
    <w:rsid w:val="00D2167E"/>
    <w:rsid w:val="00D21CE1"/>
    <w:rsid w:val="00D22A31"/>
    <w:rsid w:val="00D22C71"/>
    <w:rsid w:val="00D245C0"/>
    <w:rsid w:val="00D26540"/>
    <w:rsid w:val="00D26A21"/>
    <w:rsid w:val="00D2774F"/>
    <w:rsid w:val="00D30849"/>
    <w:rsid w:val="00D30A7F"/>
    <w:rsid w:val="00D31583"/>
    <w:rsid w:val="00D31E9C"/>
    <w:rsid w:val="00D3200E"/>
    <w:rsid w:val="00D32579"/>
    <w:rsid w:val="00D32E07"/>
    <w:rsid w:val="00D33708"/>
    <w:rsid w:val="00D34415"/>
    <w:rsid w:val="00D349C3"/>
    <w:rsid w:val="00D35454"/>
    <w:rsid w:val="00D35A85"/>
    <w:rsid w:val="00D362E2"/>
    <w:rsid w:val="00D36B69"/>
    <w:rsid w:val="00D3759A"/>
    <w:rsid w:val="00D40476"/>
    <w:rsid w:val="00D40674"/>
    <w:rsid w:val="00D40C67"/>
    <w:rsid w:val="00D41B1B"/>
    <w:rsid w:val="00D4341A"/>
    <w:rsid w:val="00D4361D"/>
    <w:rsid w:val="00D436A3"/>
    <w:rsid w:val="00D44468"/>
    <w:rsid w:val="00D44EC9"/>
    <w:rsid w:val="00D46423"/>
    <w:rsid w:val="00D4707B"/>
    <w:rsid w:val="00D4775D"/>
    <w:rsid w:val="00D47776"/>
    <w:rsid w:val="00D47E1D"/>
    <w:rsid w:val="00D501D7"/>
    <w:rsid w:val="00D50373"/>
    <w:rsid w:val="00D50511"/>
    <w:rsid w:val="00D50A30"/>
    <w:rsid w:val="00D5314E"/>
    <w:rsid w:val="00D549C9"/>
    <w:rsid w:val="00D57354"/>
    <w:rsid w:val="00D602E0"/>
    <w:rsid w:val="00D62EE3"/>
    <w:rsid w:val="00D631F2"/>
    <w:rsid w:val="00D63A3C"/>
    <w:rsid w:val="00D63AAC"/>
    <w:rsid w:val="00D63CBB"/>
    <w:rsid w:val="00D648D8"/>
    <w:rsid w:val="00D64DAF"/>
    <w:rsid w:val="00D65BD3"/>
    <w:rsid w:val="00D65FB1"/>
    <w:rsid w:val="00D660E6"/>
    <w:rsid w:val="00D6669A"/>
    <w:rsid w:val="00D669DF"/>
    <w:rsid w:val="00D66F2D"/>
    <w:rsid w:val="00D67C1E"/>
    <w:rsid w:val="00D7087D"/>
    <w:rsid w:val="00D70ECD"/>
    <w:rsid w:val="00D71189"/>
    <w:rsid w:val="00D71C8D"/>
    <w:rsid w:val="00D71EE0"/>
    <w:rsid w:val="00D73453"/>
    <w:rsid w:val="00D73E58"/>
    <w:rsid w:val="00D7460D"/>
    <w:rsid w:val="00D748B0"/>
    <w:rsid w:val="00D7590C"/>
    <w:rsid w:val="00D75D42"/>
    <w:rsid w:val="00D762F8"/>
    <w:rsid w:val="00D7643F"/>
    <w:rsid w:val="00D76E02"/>
    <w:rsid w:val="00D76F9A"/>
    <w:rsid w:val="00D776CF"/>
    <w:rsid w:val="00D80278"/>
    <w:rsid w:val="00D829D6"/>
    <w:rsid w:val="00D82D44"/>
    <w:rsid w:val="00D849DA"/>
    <w:rsid w:val="00D84DDF"/>
    <w:rsid w:val="00D850E7"/>
    <w:rsid w:val="00D85CD6"/>
    <w:rsid w:val="00D866A5"/>
    <w:rsid w:val="00D86DD6"/>
    <w:rsid w:val="00D87C2A"/>
    <w:rsid w:val="00D9016B"/>
    <w:rsid w:val="00D90FC0"/>
    <w:rsid w:val="00D93753"/>
    <w:rsid w:val="00D9412A"/>
    <w:rsid w:val="00D94192"/>
    <w:rsid w:val="00D94EBE"/>
    <w:rsid w:val="00D95DFD"/>
    <w:rsid w:val="00D9683B"/>
    <w:rsid w:val="00D96926"/>
    <w:rsid w:val="00D97BD5"/>
    <w:rsid w:val="00DA0C25"/>
    <w:rsid w:val="00DA2AF8"/>
    <w:rsid w:val="00DA2FD8"/>
    <w:rsid w:val="00DA3D0E"/>
    <w:rsid w:val="00DA4518"/>
    <w:rsid w:val="00DA49A1"/>
    <w:rsid w:val="00DA4B97"/>
    <w:rsid w:val="00DA7BCA"/>
    <w:rsid w:val="00DB02C6"/>
    <w:rsid w:val="00DB0400"/>
    <w:rsid w:val="00DB05F9"/>
    <w:rsid w:val="00DB14F1"/>
    <w:rsid w:val="00DB274F"/>
    <w:rsid w:val="00DB35C0"/>
    <w:rsid w:val="00DB3D12"/>
    <w:rsid w:val="00DB5970"/>
    <w:rsid w:val="00DB606E"/>
    <w:rsid w:val="00DB73ED"/>
    <w:rsid w:val="00DB740D"/>
    <w:rsid w:val="00DC0221"/>
    <w:rsid w:val="00DC0305"/>
    <w:rsid w:val="00DC0738"/>
    <w:rsid w:val="00DC08FD"/>
    <w:rsid w:val="00DC0A95"/>
    <w:rsid w:val="00DC252C"/>
    <w:rsid w:val="00DC295D"/>
    <w:rsid w:val="00DC3083"/>
    <w:rsid w:val="00DC3D32"/>
    <w:rsid w:val="00DC3E10"/>
    <w:rsid w:val="00DC4064"/>
    <w:rsid w:val="00DC4D33"/>
    <w:rsid w:val="00DC5BFE"/>
    <w:rsid w:val="00DC5D06"/>
    <w:rsid w:val="00DC74EE"/>
    <w:rsid w:val="00DC7E97"/>
    <w:rsid w:val="00DD0D60"/>
    <w:rsid w:val="00DD0F7C"/>
    <w:rsid w:val="00DD23E1"/>
    <w:rsid w:val="00DD286E"/>
    <w:rsid w:val="00DD354E"/>
    <w:rsid w:val="00DD4FED"/>
    <w:rsid w:val="00DD6146"/>
    <w:rsid w:val="00DD66C0"/>
    <w:rsid w:val="00DD7512"/>
    <w:rsid w:val="00DE1044"/>
    <w:rsid w:val="00DE39CF"/>
    <w:rsid w:val="00DE39E6"/>
    <w:rsid w:val="00DE4171"/>
    <w:rsid w:val="00DE56DF"/>
    <w:rsid w:val="00DE5B2D"/>
    <w:rsid w:val="00DE643A"/>
    <w:rsid w:val="00DF047A"/>
    <w:rsid w:val="00DF1C7F"/>
    <w:rsid w:val="00DF2189"/>
    <w:rsid w:val="00DF4D2E"/>
    <w:rsid w:val="00DF50B6"/>
    <w:rsid w:val="00DF5974"/>
    <w:rsid w:val="00DF655A"/>
    <w:rsid w:val="00E0068F"/>
    <w:rsid w:val="00E01899"/>
    <w:rsid w:val="00E01E1F"/>
    <w:rsid w:val="00E01EF8"/>
    <w:rsid w:val="00E02C4C"/>
    <w:rsid w:val="00E02F0D"/>
    <w:rsid w:val="00E032D3"/>
    <w:rsid w:val="00E052EA"/>
    <w:rsid w:val="00E0543B"/>
    <w:rsid w:val="00E05BF4"/>
    <w:rsid w:val="00E05FE7"/>
    <w:rsid w:val="00E07E61"/>
    <w:rsid w:val="00E103B1"/>
    <w:rsid w:val="00E11E41"/>
    <w:rsid w:val="00E11E95"/>
    <w:rsid w:val="00E13AB5"/>
    <w:rsid w:val="00E141F1"/>
    <w:rsid w:val="00E145DC"/>
    <w:rsid w:val="00E15598"/>
    <w:rsid w:val="00E15E70"/>
    <w:rsid w:val="00E15F68"/>
    <w:rsid w:val="00E171D6"/>
    <w:rsid w:val="00E174D6"/>
    <w:rsid w:val="00E20444"/>
    <w:rsid w:val="00E20EAA"/>
    <w:rsid w:val="00E21264"/>
    <w:rsid w:val="00E2167C"/>
    <w:rsid w:val="00E2251D"/>
    <w:rsid w:val="00E22670"/>
    <w:rsid w:val="00E226F0"/>
    <w:rsid w:val="00E22755"/>
    <w:rsid w:val="00E23013"/>
    <w:rsid w:val="00E24A69"/>
    <w:rsid w:val="00E2669E"/>
    <w:rsid w:val="00E2699D"/>
    <w:rsid w:val="00E27178"/>
    <w:rsid w:val="00E27984"/>
    <w:rsid w:val="00E309A8"/>
    <w:rsid w:val="00E31009"/>
    <w:rsid w:val="00E31119"/>
    <w:rsid w:val="00E31348"/>
    <w:rsid w:val="00E3194A"/>
    <w:rsid w:val="00E321AC"/>
    <w:rsid w:val="00E32497"/>
    <w:rsid w:val="00E32CCF"/>
    <w:rsid w:val="00E33164"/>
    <w:rsid w:val="00E33833"/>
    <w:rsid w:val="00E33924"/>
    <w:rsid w:val="00E33E7A"/>
    <w:rsid w:val="00E33F60"/>
    <w:rsid w:val="00E34DB4"/>
    <w:rsid w:val="00E34E55"/>
    <w:rsid w:val="00E35DF8"/>
    <w:rsid w:val="00E35EE1"/>
    <w:rsid w:val="00E3683E"/>
    <w:rsid w:val="00E3757C"/>
    <w:rsid w:val="00E379E6"/>
    <w:rsid w:val="00E4051E"/>
    <w:rsid w:val="00E417EB"/>
    <w:rsid w:val="00E42619"/>
    <w:rsid w:val="00E428F7"/>
    <w:rsid w:val="00E42E3B"/>
    <w:rsid w:val="00E445C4"/>
    <w:rsid w:val="00E44E41"/>
    <w:rsid w:val="00E50BA6"/>
    <w:rsid w:val="00E51F5D"/>
    <w:rsid w:val="00E5201A"/>
    <w:rsid w:val="00E52096"/>
    <w:rsid w:val="00E535C1"/>
    <w:rsid w:val="00E53C37"/>
    <w:rsid w:val="00E55859"/>
    <w:rsid w:val="00E563AD"/>
    <w:rsid w:val="00E5784E"/>
    <w:rsid w:val="00E601EF"/>
    <w:rsid w:val="00E6074B"/>
    <w:rsid w:val="00E6323E"/>
    <w:rsid w:val="00E633B7"/>
    <w:rsid w:val="00E634F0"/>
    <w:rsid w:val="00E638F1"/>
    <w:rsid w:val="00E63E11"/>
    <w:rsid w:val="00E63EBB"/>
    <w:rsid w:val="00E654AB"/>
    <w:rsid w:val="00E7055C"/>
    <w:rsid w:val="00E70BED"/>
    <w:rsid w:val="00E71C7F"/>
    <w:rsid w:val="00E72560"/>
    <w:rsid w:val="00E73080"/>
    <w:rsid w:val="00E7321C"/>
    <w:rsid w:val="00E7379C"/>
    <w:rsid w:val="00E738EC"/>
    <w:rsid w:val="00E77209"/>
    <w:rsid w:val="00E7791B"/>
    <w:rsid w:val="00E80023"/>
    <w:rsid w:val="00E809A9"/>
    <w:rsid w:val="00E81089"/>
    <w:rsid w:val="00E8513E"/>
    <w:rsid w:val="00E85E3A"/>
    <w:rsid w:val="00E86BA2"/>
    <w:rsid w:val="00E87849"/>
    <w:rsid w:val="00E902E5"/>
    <w:rsid w:val="00E92343"/>
    <w:rsid w:val="00E925BA"/>
    <w:rsid w:val="00E94D9A"/>
    <w:rsid w:val="00E94E51"/>
    <w:rsid w:val="00E95186"/>
    <w:rsid w:val="00E953B8"/>
    <w:rsid w:val="00E968EF"/>
    <w:rsid w:val="00EA0467"/>
    <w:rsid w:val="00EA21A5"/>
    <w:rsid w:val="00EA306D"/>
    <w:rsid w:val="00EA3093"/>
    <w:rsid w:val="00EA399E"/>
    <w:rsid w:val="00EA3A63"/>
    <w:rsid w:val="00EA539C"/>
    <w:rsid w:val="00EA53EF"/>
    <w:rsid w:val="00EA6655"/>
    <w:rsid w:val="00EA6968"/>
    <w:rsid w:val="00EA6C66"/>
    <w:rsid w:val="00EA7FCA"/>
    <w:rsid w:val="00EB0E14"/>
    <w:rsid w:val="00EB106F"/>
    <w:rsid w:val="00EB22EA"/>
    <w:rsid w:val="00EB2317"/>
    <w:rsid w:val="00EB271B"/>
    <w:rsid w:val="00EB2DC8"/>
    <w:rsid w:val="00EB3840"/>
    <w:rsid w:val="00EB47FC"/>
    <w:rsid w:val="00EB5047"/>
    <w:rsid w:val="00EB5626"/>
    <w:rsid w:val="00EB5D02"/>
    <w:rsid w:val="00EB6971"/>
    <w:rsid w:val="00EC0061"/>
    <w:rsid w:val="00EC01D8"/>
    <w:rsid w:val="00EC0668"/>
    <w:rsid w:val="00EC068D"/>
    <w:rsid w:val="00EC1EEA"/>
    <w:rsid w:val="00EC2F5B"/>
    <w:rsid w:val="00EC4679"/>
    <w:rsid w:val="00EC47E9"/>
    <w:rsid w:val="00EC6926"/>
    <w:rsid w:val="00EC71F8"/>
    <w:rsid w:val="00ED0C46"/>
    <w:rsid w:val="00ED14A7"/>
    <w:rsid w:val="00ED155D"/>
    <w:rsid w:val="00ED1A65"/>
    <w:rsid w:val="00ED2600"/>
    <w:rsid w:val="00ED33D5"/>
    <w:rsid w:val="00ED38BE"/>
    <w:rsid w:val="00ED3A62"/>
    <w:rsid w:val="00ED4A8C"/>
    <w:rsid w:val="00ED530C"/>
    <w:rsid w:val="00ED5EE9"/>
    <w:rsid w:val="00EE13B0"/>
    <w:rsid w:val="00EE18D9"/>
    <w:rsid w:val="00EE29D1"/>
    <w:rsid w:val="00EE3413"/>
    <w:rsid w:val="00EE3DF7"/>
    <w:rsid w:val="00EE5521"/>
    <w:rsid w:val="00EF1699"/>
    <w:rsid w:val="00EF18B3"/>
    <w:rsid w:val="00EF2025"/>
    <w:rsid w:val="00EF2617"/>
    <w:rsid w:val="00EF2955"/>
    <w:rsid w:val="00EF2A7F"/>
    <w:rsid w:val="00EF2AD7"/>
    <w:rsid w:val="00EF2FE0"/>
    <w:rsid w:val="00EF5816"/>
    <w:rsid w:val="00EF6257"/>
    <w:rsid w:val="00EF7327"/>
    <w:rsid w:val="00EF7C04"/>
    <w:rsid w:val="00EF7F33"/>
    <w:rsid w:val="00F000E7"/>
    <w:rsid w:val="00F00331"/>
    <w:rsid w:val="00F006F8"/>
    <w:rsid w:val="00F014BF"/>
    <w:rsid w:val="00F01C7D"/>
    <w:rsid w:val="00F020BD"/>
    <w:rsid w:val="00F023A4"/>
    <w:rsid w:val="00F027C3"/>
    <w:rsid w:val="00F02D64"/>
    <w:rsid w:val="00F02E26"/>
    <w:rsid w:val="00F03590"/>
    <w:rsid w:val="00F03A6F"/>
    <w:rsid w:val="00F04060"/>
    <w:rsid w:val="00F048BE"/>
    <w:rsid w:val="00F051D2"/>
    <w:rsid w:val="00F05B7E"/>
    <w:rsid w:val="00F0649E"/>
    <w:rsid w:val="00F06D07"/>
    <w:rsid w:val="00F06E2E"/>
    <w:rsid w:val="00F06FEE"/>
    <w:rsid w:val="00F07A51"/>
    <w:rsid w:val="00F111D4"/>
    <w:rsid w:val="00F11922"/>
    <w:rsid w:val="00F11FFC"/>
    <w:rsid w:val="00F1299F"/>
    <w:rsid w:val="00F1308D"/>
    <w:rsid w:val="00F13F57"/>
    <w:rsid w:val="00F1409B"/>
    <w:rsid w:val="00F147EB"/>
    <w:rsid w:val="00F14853"/>
    <w:rsid w:val="00F14945"/>
    <w:rsid w:val="00F15695"/>
    <w:rsid w:val="00F1587E"/>
    <w:rsid w:val="00F16533"/>
    <w:rsid w:val="00F20E27"/>
    <w:rsid w:val="00F2148A"/>
    <w:rsid w:val="00F22169"/>
    <w:rsid w:val="00F22B04"/>
    <w:rsid w:val="00F23BC8"/>
    <w:rsid w:val="00F23E34"/>
    <w:rsid w:val="00F24873"/>
    <w:rsid w:val="00F24DFC"/>
    <w:rsid w:val="00F2514A"/>
    <w:rsid w:val="00F25804"/>
    <w:rsid w:val="00F25954"/>
    <w:rsid w:val="00F25CB9"/>
    <w:rsid w:val="00F25E8E"/>
    <w:rsid w:val="00F26416"/>
    <w:rsid w:val="00F26DEE"/>
    <w:rsid w:val="00F3108B"/>
    <w:rsid w:val="00F323E3"/>
    <w:rsid w:val="00F334EE"/>
    <w:rsid w:val="00F33A3D"/>
    <w:rsid w:val="00F34276"/>
    <w:rsid w:val="00F34776"/>
    <w:rsid w:val="00F350BF"/>
    <w:rsid w:val="00F36C03"/>
    <w:rsid w:val="00F40A58"/>
    <w:rsid w:val="00F42D5B"/>
    <w:rsid w:val="00F4449A"/>
    <w:rsid w:val="00F45A0E"/>
    <w:rsid w:val="00F47077"/>
    <w:rsid w:val="00F47833"/>
    <w:rsid w:val="00F47AF9"/>
    <w:rsid w:val="00F50E49"/>
    <w:rsid w:val="00F50EB4"/>
    <w:rsid w:val="00F51A90"/>
    <w:rsid w:val="00F54B94"/>
    <w:rsid w:val="00F56664"/>
    <w:rsid w:val="00F602E2"/>
    <w:rsid w:val="00F60F86"/>
    <w:rsid w:val="00F61137"/>
    <w:rsid w:val="00F62017"/>
    <w:rsid w:val="00F621F9"/>
    <w:rsid w:val="00F62509"/>
    <w:rsid w:val="00F62564"/>
    <w:rsid w:val="00F62584"/>
    <w:rsid w:val="00F6348B"/>
    <w:rsid w:val="00F64643"/>
    <w:rsid w:val="00F646B4"/>
    <w:rsid w:val="00F64B77"/>
    <w:rsid w:val="00F65014"/>
    <w:rsid w:val="00F65550"/>
    <w:rsid w:val="00F659DB"/>
    <w:rsid w:val="00F65A09"/>
    <w:rsid w:val="00F67F0C"/>
    <w:rsid w:val="00F70026"/>
    <w:rsid w:val="00F70ADF"/>
    <w:rsid w:val="00F7312C"/>
    <w:rsid w:val="00F732F8"/>
    <w:rsid w:val="00F73A6B"/>
    <w:rsid w:val="00F743A1"/>
    <w:rsid w:val="00F74AF1"/>
    <w:rsid w:val="00F76BA0"/>
    <w:rsid w:val="00F7708C"/>
    <w:rsid w:val="00F779C0"/>
    <w:rsid w:val="00F77A02"/>
    <w:rsid w:val="00F77FC3"/>
    <w:rsid w:val="00F808C9"/>
    <w:rsid w:val="00F80CB7"/>
    <w:rsid w:val="00F813F7"/>
    <w:rsid w:val="00F82631"/>
    <w:rsid w:val="00F82756"/>
    <w:rsid w:val="00F831DA"/>
    <w:rsid w:val="00F85A86"/>
    <w:rsid w:val="00F8613E"/>
    <w:rsid w:val="00F908A7"/>
    <w:rsid w:val="00F911E4"/>
    <w:rsid w:val="00F912C0"/>
    <w:rsid w:val="00F91E35"/>
    <w:rsid w:val="00F94135"/>
    <w:rsid w:val="00F94AF9"/>
    <w:rsid w:val="00F94DEA"/>
    <w:rsid w:val="00F95108"/>
    <w:rsid w:val="00F95667"/>
    <w:rsid w:val="00F95AE6"/>
    <w:rsid w:val="00F95B62"/>
    <w:rsid w:val="00F96D57"/>
    <w:rsid w:val="00F978CD"/>
    <w:rsid w:val="00F97A95"/>
    <w:rsid w:val="00F97C9B"/>
    <w:rsid w:val="00FA09A3"/>
    <w:rsid w:val="00FA0C6B"/>
    <w:rsid w:val="00FA0D76"/>
    <w:rsid w:val="00FA1326"/>
    <w:rsid w:val="00FA28F5"/>
    <w:rsid w:val="00FA2EFC"/>
    <w:rsid w:val="00FA45A4"/>
    <w:rsid w:val="00FA59E1"/>
    <w:rsid w:val="00FA5FD9"/>
    <w:rsid w:val="00FA773B"/>
    <w:rsid w:val="00FB0BE9"/>
    <w:rsid w:val="00FB18EC"/>
    <w:rsid w:val="00FB1F94"/>
    <w:rsid w:val="00FB24FF"/>
    <w:rsid w:val="00FB26E9"/>
    <w:rsid w:val="00FB27CF"/>
    <w:rsid w:val="00FB3A47"/>
    <w:rsid w:val="00FB4E59"/>
    <w:rsid w:val="00FB539A"/>
    <w:rsid w:val="00FB5913"/>
    <w:rsid w:val="00FB5AE7"/>
    <w:rsid w:val="00FB607A"/>
    <w:rsid w:val="00FB7EB4"/>
    <w:rsid w:val="00FC0632"/>
    <w:rsid w:val="00FC16E7"/>
    <w:rsid w:val="00FC2750"/>
    <w:rsid w:val="00FC2B52"/>
    <w:rsid w:val="00FC3700"/>
    <w:rsid w:val="00FC40FF"/>
    <w:rsid w:val="00FC4133"/>
    <w:rsid w:val="00FC44D9"/>
    <w:rsid w:val="00FC623D"/>
    <w:rsid w:val="00FC6A3A"/>
    <w:rsid w:val="00FC732A"/>
    <w:rsid w:val="00FC7A98"/>
    <w:rsid w:val="00FC7D68"/>
    <w:rsid w:val="00FD0AFA"/>
    <w:rsid w:val="00FD13C3"/>
    <w:rsid w:val="00FD2956"/>
    <w:rsid w:val="00FD3140"/>
    <w:rsid w:val="00FD3C10"/>
    <w:rsid w:val="00FD43C2"/>
    <w:rsid w:val="00FD4F28"/>
    <w:rsid w:val="00FD59C5"/>
    <w:rsid w:val="00FD59CB"/>
    <w:rsid w:val="00FD7787"/>
    <w:rsid w:val="00FD7E0E"/>
    <w:rsid w:val="00FE0B01"/>
    <w:rsid w:val="00FE1826"/>
    <w:rsid w:val="00FE33CD"/>
    <w:rsid w:val="00FE3972"/>
    <w:rsid w:val="00FE42D1"/>
    <w:rsid w:val="00FE4572"/>
    <w:rsid w:val="00FE5C11"/>
    <w:rsid w:val="00FE608D"/>
    <w:rsid w:val="00FE71C5"/>
    <w:rsid w:val="00FE7E82"/>
    <w:rsid w:val="00FF0195"/>
    <w:rsid w:val="00FF15A8"/>
    <w:rsid w:val="00FF17C9"/>
    <w:rsid w:val="00FF2375"/>
    <w:rsid w:val="00FF2D7E"/>
    <w:rsid w:val="00FF3537"/>
    <w:rsid w:val="00FF3F9F"/>
    <w:rsid w:val="00FF4197"/>
    <w:rsid w:val="00FF4BB2"/>
    <w:rsid w:val="00FF5360"/>
    <w:rsid w:val="00FF6C2D"/>
    <w:rsid w:val="00FF6F52"/>
    <w:rsid w:val="00FF765C"/>
    <w:rsid w:val="0E3BB30E"/>
    <w:rsid w:val="0EEC96F0"/>
    <w:rsid w:val="386AF6CE"/>
    <w:rsid w:val="6689A0BA"/>
    <w:rsid w:val="714A20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8" style="mso-wrap-style:none" fillcolor="white">
      <v:fill color="white"/>
      <v:textbox style="mso-fit-shape-to-text:t"/>
    </o:shapedefaults>
    <o:shapelayout v:ext="edit">
      <o:idmap v:ext="edit" data="1"/>
    </o:shapelayout>
  </w:shapeDefaults>
  <w:decimalSymbol w:val="."/>
  <w:listSeparator w:val=","/>
  <w14:docId w14:val="20DE4129"/>
  <w15:docId w15:val="{31F33BC6-093B-4555-947D-B68F52058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964"/>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3B5AA2"/>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nhideWhenUsed/>
    <w:qFormat/>
    <w:rsid w:val="00C91806"/>
    <w:pPr>
      <w:keepNext/>
      <w:keepLines/>
      <w:spacing w:before="40" w:after="0"/>
      <w:outlineLvl w:val="2"/>
    </w:pPr>
    <w:rPr>
      <w:rFonts w:asciiTheme="majorHAnsi" w:eastAsiaTheme="majorEastAsia" w:hAnsiTheme="majorHAnsi" w:cstheme="majorBidi"/>
      <w:b/>
      <w:sz w:val="28"/>
      <w:szCs w:val="24"/>
    </w:rPr>
  </w:style>
  <w:style w:type="paragraph" w:styleId="Heading4">
    <w:name w:val="heading 4"/>
    <w:basedOn w:val="Normal"/>
    <w:next w:val="Normal"/>
    <w:link w:val="Heading4Char"/>
    <w:unhideWhenUsed/>
    <w:qFormat/>
    <w:rsid w:val="00C170B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val="0"/>
      <w:iCs w:val="0"/>
      <w:color w:val="auto"/>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3B5AA2"/>
    <w:rPr>
      <w:rFonts w:ascii="Arial" w:eastAsiaTheme="majorEastAsia" w:hAnsi="Arial" w:cstheme="majorBidi"/>
      <w:sz w:val="32"/>
      <w:szCs w:val="26"/>
    </w:rPr>
  </w:style>
  <w:style w:type="character" w:customStyle="1" w:styleId="Heading3Char">
    <w:name w:val="Heading 3 Char"/>
    <w:basedOn w:val="DefaultParagraphFont"/>
    <w:link w:val="Heading3"/>
    <w:rsid w:val="00C91806"/>
    <w:rPr>
      <w:rFonts w:asciiTheme="majorHAnsi" w:eastAsiaTheme="majorEastAsia" w:hAnsiTheme="majorHAnsi" w:cstheme="majorBidi"/>
      <w:b/>
      <w:sz w:val="28"/>
      <w:szCs w:val="24"/>
    </w:rPr>
  </w:style>
  <w:style w:type="character" w:customStyle="1" w:styleId="Heading4Char">
    <w:name w:val="Heading 4 Char"/>
    <w:basedOn w:val="DefaultParagraphFont"/>
    <w:link w:val="Heading4"/>
    <w:rsid w:val="00C170BC"/>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paragraph" w:customStyle="1" w:styleId="H6">
    <w:name w:val="H6"/>
    <w:basedOn w:val="Heading5"/>
    <w:next w:val="Normal"/>
    <w:link w:val="H6Char"/>
    <w:rsid w:val="00C170BC"/>
    <w:pPr>
      <w:ind w:left="1985" w:hanging="1985"/>
      <w:outlineLvl w:val="9"/>
    </w:pPr>
    <w:rPr>
      <w:sz w:val="20"/>
    </w:rPr>
  </w:style>
  <w:style w:type="character" w:customStyle="1" w:styleId="H6Char">
    <w:name w:val="H6 Char"/>
    <w:link w:val="H6"/>
    <w:rsid w:val="00C170BC"/>
    <w:rPr>
      <w:rFonts w:ascii="Arial" w:hAnsi="Arial" w:cs="Times New Roman"/>
      <w:sz w:val="20"/>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TAH">
    <w:name w:val="TAH"/>
    <w:basedOn w:val="TAC"/>
    <w:link w:val="TAHCar"/>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 w:val="20"/>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qForma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 w:val="20"/>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 w:val="20"/>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 w:val="20"/>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 w:val="20"/>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 w:val="20"/>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paragraph" w:styleId="ListBullet3">
    <w:name w:val="List Bullet 3"/>
    <w:basedOn w:val="ListBullet2"/>
    <w:rsid w:val="00C170BC"/>
    <w:pPr>
      <w:ind w:left="1135"/>
    </w:pPr>
  </w:style>
  <w:style w:type="paragraph" w:customStyle="1" w:styleId="EQ">
    <w:name w:val="EQ"/>
    <w:basedOn w:val="Normal"/>
    <w:next w:val="Normal"/>
    <w:link w:val="EQChar"/>
    <w:rsid w:val="00C170BC"/>
    <w:pPr>
      <w:keepLines/>
      <w:tabs>
        <w:tab w:val="center" w:pos="4536"/>
        <w:tab w:val="right" w:pos="9072"/>
      </w:tabs>
      <w:spacing w:after="180" w:line="240" w:lineRule="auto"/>
    </w:pPr>
    <w:rPr>
      <w:rFonts w:ascii="Times New Roman" w:hAnsi="Times New Roman" w:cs="Times New Roman"/>
      <w:noProof/>
      <w:sz w:val="20"/>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qFormat/>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rsid w:val="00C170BC"/>
    <w:rPr>
      <w:rFonts w:ascii="Times New Roman" w:hAnsi="Times New Roman" w:cs="Times New Roman"/>
      <w:sz w:val="20"/>
      <w:szCs w:val="20"/>
      <w:lang w:val="en-GB" w:eastAsia="en-US"/>
    </w:rPr>
  </w:style>
  <w:style w:type="paragraph" w:customStyle="1" w:styleId="B3">
    <w:name w:val="B3"/>
    <w:basedOn w:val="List3"/>
    <w:link w:val="B3Char2"/>
    <w:rsid w:val="00C170BC"/>
  </w:style>
  <w:style w:type="character" w:customStyle="1" w:styleId="B3Char2">
    <w:name w:val="B3 Char2"/>
    <w:link w:val="B3"/>
    <w:rsid w:val="00C170BC"/>
    <w:rPr>
      <w:rFonts w:ascii="Times New Roman" w:hAnsi="Times New Roman" w:cs="Times New Roman"/>
      <w:sz w:val="20"/>
      <w:szCs w:val="20"/>
      <w:lang w:val="en-GB" w:eastAsia="en-US"/>
    </w:rPr>
  </w:style>
  <w:style w:type="paragraph" w:customStyle="1" w:styleId="B4">
    <w:name w:val="B4"/>
    <w:basedOn w:val="List4"/>
    <w:link w:val="B4Char"/>
    <w:rsid w:val="00C170BC"/>
  </w:style>
  <w:style w:type="character" w:customStyle="1" w:styleId="B4Char">
    <w:name w:val="B4 Char"/>
    <w:link w:val="B4"/>
    <w:rsid w:val="00C170BC"/>
    <w:rPr>
      <w:rFonts w:ascii="Times New Roman" w:hAnsi="Times New Roman" w:cs="Times New Roman"/>
      <w:sz w:val="20"/>
      <w:szCs w:val="20"/>
      <w:lang w:val="en-GB" w:eastAsia="en-US"/>
    </w:rPr>
  </w:style>
  <w:style w:type="paragraph" w:customStyle="1" w:styleId="B5">
    <w:name w:val="B5"/>
    <w:basedOn w:val="List5"/>
    <w:link w:val="B5Char"/>
    <w:rsid w:val="00C170BC"/>
  </w:style>
  <w:style w:type="character" w:customStyle="1" w:styleId="B5Char">
    <w:name w:val="B5 Char"/>
    <w:link w:val="B5"/>
    <w:rsid w:val="00C170BC"/>
    <w:rPr>
      <w:rFonts w:ascii="Times New Roman" w:hAnsi="Times New Roman" w:cs="Times New Roman"/>
      <w:sz w:val="20"/>
      <w:szCs w:val="20"/>
      <w:lang w:val="en-GB" w:eastAsia="en-US"/>
    </w:rPr>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uiPriority w:val="99"/>
    <w:rsid w:val="00C170BC"/>
    <w:rPr>
      <w:color w:val="0000FF"/>
      <w:u w:val="single"/>
    </w:rPr>
  </w:style>
  <w:style w:type="character" w:styleId="CommentReference">
    <w:name w:val="annotation reference"/>
    <w:rsid w:val="00C170BC"/>
    <w:rPr>
      <w:sz w:val="16"/>
    </w:rPr>
  </w:style>
  <w:style w:type="paragraph" w:styleId="CommentText">
    <w:name w:val="annotation text"/>
    <w:basedOn w:val="Normal"/>
    <w:link w:val="CommentTextChar"/>
    <w:rsid w:val="00C170BC"/>
    <w:pPr>
      <w:spacing w:after="180" w:line="240" w:lineRule="auto"/>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 w:val="20"/>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 w:val="20"/>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 w:val="20"/>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C170BC"/>
    <w:pPr>
      <w:spacing w:after="0" w:line="240" w:lineRule="auto"/>
      <w:ind w:left="720"/>
    </w:pPr>
    <w:rPr>
      <w:rFonts w:ascii="Calibri" w:eastAsia="Times New Roman" w:hAnsi="Calibri" w:cs="Calibri"/>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CB7875"/>
    <w:rPr>
      <w:rFonts w:ascii="Calibri" w:eastAsia="Times New Roman" w:hAnsi="Calibri" w:cs="Calibri"/>
      <w:lang w:eastAsia="en-US"/>
    </w:rPr>
  </w:style>
  <w:style w:type="paragraph" w:styleId="BodyText">
    <w:name w:val="Body Text"/>
    <w:basedOn w:val="Normal"/>
    <w:link w:val="BodyTextChar"/>
    <w:rsid w:val="00C170BC"/>
    <w:pPr>
      <w:spacing w:after="120" w:line="240" w:lineRule="auto"/>
    </w:pPr>
    <w:rPr>
      <w:rFonts w:ascii="Times New Roman" w:hAnsi="Times New Roman" w:cs="Times New Roman"/>
      <w:sz w:val="20"/>
      <w:szCs w:val="20"/>
      <w:lang w:val="en-GB" w:eastAsia="en-US"/>
    </w:rPr>
  </w:style>
  <w:style w:type="character" w:customStyle="1" w:styleId="BodyTextChar">
    <w:name w:val="Body Text Char"/>
    <w:basedOn w:val="DefaultParagraphFont"/>
    <w:link w:val="BodyText"/>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basedOn w:val="TableNormal"/>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styleId="PageNumber">
    <w:name w:val="page number"/>
    <w:rsid w:val="00C170BC"/>
  </w:style>
  <w:style w:type="paragraph" w:customStyle="1" w:styleId="Reference">
    <w:name w:val="Reference"/>
    <w:basedOn w:val="Normal"/>
    <w:rsid w:val="00C170BC"/>
    <w:pPr>
      <w:keepLines/>
      <w:numPr>
        <w:ilvl w:val="1"/>
        <w:numId w:val="1"/>
      </w:numPr>
      <w:spacing w:after="180" w:line="240" w:lineRule="auto"/>
    </w:pPr>
    <w:rPr>
      <w:rFonts w:ascii="Times New Roman" w:eastAsia="MS Mincho" w:hAnsi="Times New Roman" w:cs="Times New Roman"/>
      <w:sz w:val="20"/>
      <w:szCs w:val="20"/>
      <w:lang w:val="en-GB" w:eastAsia="en-US"/>
    </w:rPr>
  </w:style>
  <w:style w:type="paragraph" w:customStyle="1" w:styleId="ZchnZchn">
    <w:name w:val="Zchn Zchn"/>
    <w:semiHidden/>
    <w:rsid w:val="00C170BC"/>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 w:val="20"/>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 w:val="20"/>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uiPriority w:val="22"/>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C170BC"/>
    <w:rPr>
      <w:rFonts w:ascii="Arial" w:eastAsia="宋体" w:hAnsi="Arial"/>
      <w:b/>
      <w:sz w:val="22"/>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 w:val="20"/>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 w:val="20"/>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 w:val="20"/>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 w:val="20"/>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 w:val="20"/>
      <w:szCs w:val="20"/>
      <w:lang w:val="en-GB" w:eastAsia="de-DE"/>
    </w:rPr>
  </w:style>
  <w:style w:type="paragraph" w:customStyle="1" w:styleId="tal1">
    <w:name w:val="tal"/>
    <w:basedOn w:val="Normal"/>
    <w:rsid w:val="00C170BC"/>
    <w:pPr>
      <w:spacing w:before="100" w:beforeAutospacing="1" w:after="100" w:afterAutospacing="1" w:line="240" w:lineRule="auto"/>
    </w:pPr>
    <w:rPr>
      <w:rFonts w:ascii="宋体" w:eastAsia="宋体" w:hAnsi="宋体" w:cs="宋体"/>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宋体" w:hAnsi="Bookman Old Style" w:cs="Times New Roman"/>
      <w:sz w:val="20"/>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 w:val="20"/>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 w:type="table" w:customStyle="1" w:styleId="TableGrid10">
    <w:name w:val="TableGrid1"/>
    <w:basedOn w:val="TableNormal"/>
    <w:next w:val="TableGrid"/>
    <w:qFormat/>
    <w:rsid w:val="00E33E7A"/>
    <w:pPr>
      <w:spacing w:after="180" w:line="240" w:lineRule="auto"/>
    </w:pPr>
    <w:rPr>
      <w:rFonts w:ascii="Calibri" w:eastAsia="Calibri Light" w:hAnsi="Calibri" w:cs="宋体"/>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5E5243"/>
    <w:pPr>
      <w:spacing w:line="259" w:lineRule="auto"/>
      <w:ind w:left="1701" w:hanging="1701"/>
    </w:pPr>
    <w:rPr>
      <w:rFonts w:ascii="Arial" w:eastAsiaTheme="minorHAnsi" w:hAnsi="Arial" w:cstheme="minorBidi"/>
      <w:b/>
      <w:szCs w:val="22"/>
      <w:lang w:val="en-US" w:eastAsia="zh-CN"/>
    </w:rPr>
  </w:style>
  <w:style w:type="paragraph" w:customStyle="1" w:styleId="Proposal">
    <w:name w:val="Proposal"/>
    <w:basedOn w:val="BodyText"/>
    <w:qFormat/>
    <w:rsid w:val="005E5243"/>
    <w:pPr>
      <w:tabs>
        <w:tab w:val="left" w:pos="1701"/>
      </w:tabs>
      <w:spacing w:line="259" w:lineRule="auto"/>
      <w:ind w:left="1701" w:hanging="1701"/>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5E5243"/>
    <w:pPr>
      <w:numPr>
        <w:numId w:val="42"/>
      </w:numPr>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293187">
      <w:bodyDiv w:val="1"/>
      <w:marLeft w:val="0"/>
      <w:marRight w:val="0"/>
      <w:marTop w:val="0"/>
      <w:marBottom w:val="0"/>
      <w:divBdr>
        <w:top w:val="none" w:sz="0" w:space="0" w:color="auto"/>
        <w:left w:val="none" w:sz="0" w:space="0" w:color="auto"/>
        <w:bottom w:val="none" w:sz="0" w:space="0" w:color="auto"/>
        <w:right w:val="none" w:sz="0" w:space="0" w:color="auto"/>
      </w:divBdr>
    </w:div>
    <w:div w:id="435172945">
      <w:bodyDiv w:val="1"/>
      <w:marLeft w:val="0"/>
      <w:marRight w:val="0"/>
      <w:marTop w:val="0"/>
      <w:marBottom w:val="0"/>
      <w:divBdr>
        <w:top w:val="none" w:sz="0" w:space="0" w:color="auto"/>
        <w:left w:val="none" w:sz="0" w:space="0" w:color="auto"/>
        <w:bottom w:val="none" w:sz="0" w:space="0" w:color="auto"/>
        <w:right w:val="none" w:sz="0" w:space="0" w:color="auto"/>
      </w:divBdr>
      <w:divsChild>
        <w:div w:id="653721920">
          <w:marLeft w:val="360"/>
          <w:marRight w:val="0"/>
          <w:marTop w:val="200"/>
          <w:marBottom w:val="0"/>
          <w:divBdr>
            <w:top w:val="none" w:sz="0" w:space="0" w:color="auto"/>
            <w:left w:val="none" w:sz="0" w:space="0" w:color="auto"/>
            <w:bottom w:val="none" w:sz="0" w:space="0" w:color="auto"/>
            <w:right w:val="none" w:sz="0" w:space="0" w:color="auto"/>
          </w:divBdr>
        </w:div>
        <w:div w:id="957563412">
          <w:marLeft w:val="1080"/>
          <w:marRight w:val="0"/>
          <w:marTop w:val="100"/>
          <w:marBottom w:val="0"/>
          <w:divBdr>
            <w:top w:val="none" w:sz="0" w:space="0" w:color="auto"/>
            <w:left w:val="none" w:sz="0" w:space="0" w:color="auto"/>
            <w:bottom w:val="none" w:sz="0" w:space="0" w:color="auto"/>
            <w:right w:val="none" w:sz="0" w:space="0" w:color="auto"/>
          </w:divBdr>
        </w:div>
        <w:div w:id="1579902041">
          <w:marLeft w:val="1080"/>
          <w:marRight w:val="0"/>
          <w:marTop w:val="100"/>
          <w:marBottom w:val="0"/>
          <w:divBdr>
            <w:top w:val="none" w:sz="0" w:space="0" w:color="auto"/>
            <w:left w:val="none" w:sz="0" w:space="0" w:color="auto"/>
            <w:bottom w:val="none" w:sz="0" w:space="0" w:color="auto"/>
            <w:right w:val="none" w:sz="0" w:space="0" w:color="auto"/>
          </w:divBdr>
        </w:div>
        <w:div w:id="1730299362">
          <w:marLeft w:val="1080"/>
          <w:marRight w:val="0"/>
          <w:marTop w:val="100"/>
          <w:marBottom w:val="0"/>
          <w:divBdr>
            <w:top w:val="none" w:sz="0" w:space="0" w:color="auto"/>
            <w:left w:val="none" w:sz="0" w:space="0" w:color="auto"/>
            <w:bottom w:val="none" w:sz="0" w:space="0" w:color="auto"/>
            <w:right w:val="none" w:sz="0" w:space="0" w:color="auto"/>
          </w:divBdr>
        </w:div>
      </w:divsChild>
    </w:div>
    <w:div w:id="444931858">
      <w:bodyDiv w:val="1"/>
      <w:marLeft w:val="0"/>
      <w:marRight w:val="0"/>
      <w:marTop w:val="0"/>
      <w:marBottom w:val="0"/>
      <w:divBdr>
        <w:top w:val="none" w:sz="0" w:space="0" w:color="auto"/>
        <w:left w:val="none" w:sz="0" w:space="0" w:color="auto"/>
        <w:bottom w:val="none" w:sz="0" w:space="0" w:color="auto"/>
        <w:right w:val="none" w:sz="0" w:space="0" w:color="auto"/>
      </w:divBdr>
    </w:div>
    <w:div w:id="475807292">
      <w:bodyDiv w:val="1"/>
      <w:marLeft w:val="0"/>
      <w:marRight w:val="0"/>
      <w:marTop w:val="0"/>
      <w:marBottom w:val="0"/>
      <w:divBdr>
        <w:top w:val="none" w:sz="0" w:space="0" w:color="auto"/>
        <w:left w:val="none" w:sz="0" w:space="0" w:color="auto"/>
        <w:bottom w:val="none" w:sz="0" w:space="0" w:color="auto"/>
        <w:right w:val="none" w:sz="0" w:space="0" w:color="auto"/>
      </w:divBdr>
    </w:div>
    <w:div w:id="597908336">
      <w:bodyDiv w:val="1"/>
      <w:marLeft w:val="0"/>
      <w:marRight w:val="0"/>
      <w:marTop w:val="0"/>
      <w:marBottom w:val="0"/>
      <w:divBdr>
        <w:top w:val="none" w:sz="0" w:space="0" w:color="auto"/>
        <w:left w:val="none" w:sz="0" w:space="0" w:color="auto"/>
        <w:bottom w:val="none" w:sz="0" w:space="0" w:color="auto"/>
        <w:right w:val="none" w:sz="0" w:space="0" w:color="auto"/>
      </w:divBdr>
      <w:divsChild>
        <w:div w:id="51009436">
          <w:marLeft w:val="360"/>
          <w:marRight w:val="0"/>
          <w:marTop w:val="200"/>
          <w:marBottom w:val="0"/>
          <w:divBdr>
            <w:top w:val="none" w:sz="0" w:space="0" w:color="auto"/>
            <w:left w:val="none" w:sz="0" w:space="0" w:color="auto"/>
            <w:bottom w:val="none" w:sz="0" w:space="0" w:color="auto"/>
            <w:right w:val="none" w:sz="0" w:space="0" w:color="auto"/>
          </w:divBdr>
        </w:div>
        <w:div w:id="125240553">
          <w:marLeft w:val="1080"/>
          <w:marRight w:val="0"/>
          <w:marTop w:val="100"/>
          <w:marBottom w:val="0"/>
          <w:divBdr>
            <w:top w:val="none" w:sz="0" w:space="0" w:color="auto"/>
            <w:left w:val="none" w:sz="0" w:space="0" w:color="auto"/>
            <w:bottom w:val="none" w:sz="0" w:space="0" w:color="auto"/>
            <w:right w:val="none" w:sz="0" w:space="0" w:color="auto"/>
          </w:divBdr>
        </w:div>
        <w:div w:id="238294602">
          <w:marLeft w:val="1800"/>
          <w:marRight w:val="0"/>
          <w:marTop w:val="100"/>
          <w:marBottom w:val="0"/>
          <w:divBdr>
            <w:top w:val="none" w:sz="0" w:space="0" w:color="auto"/>
            <w:left w:val="none" w:sz="0" w:space="0" w:color="auto"/>
            <w:bottom w:val="none" w:sz="0" w:space="0" w:color="auto"/>
            <w:right w:val="none" w:sz="0" w:space="0" w:color="auto"/>
          </w:divBdr>
        </w:div>
        <w:div w:id="1079404742">
          <w:marLeft w:val="1080"/>
          <w:marRight w:val="0"/>
          <w:marTop w:val="100"/>
          <w:marBottom w:val="0"/>
          <w:divBdr>
            <w:top w:val="none" w:sz="0" w:space="0" w:color="auto"/>
            <w:left w:val="none" w:sz="0" w:space="0" w:color="auto"/>
            <w:bottom w:val="none" w:sz="0" w:space="0" w:color="auto"/>
            <w:right w:val="none" w:sz="0" w:space="0" w:color="auto"/>
          </w:divBdr>
        </w:div>
        <w:div w:id="1492215436">
          <w:marLeft w:val="1080"/>
          <w:marRight w:val="0"/>
          <w:marTop w:val="100"/>
          <w:marBottom w:val="0"/>
          <w:divBdr>
            <w:top w:val="none" w:sz="0" w:space="0" w:color="auto"/>
            <w:left w:val="none" w:sz="0" w:space="0" w:color="auto"/>
            <w:bottom w:val="none" w:sz="0" w:space="0" w:color="auto"/>
            <w:right w:val="none" w:sz="0" w:space="0" w:color="auto"/>
          </w:divBdr>
        </w:div>
        <w:div w:id="2061394063">
          <w:marLeft w:val="1800"/>
          <w:marRight w:val="0"/>
          <w:marTop w:val="100"/>
          <w:marBottom w:val="0"/>
          <w:divBdr>
            <w:top w:val="none" w:sz="0" w:space="0" w:color="auto"/>
            <w:left w:val="none" w:sz="0" w:space="0" w:color="auto"/>
            <w:bottom w:val="none" w:sz="0" w:space="0" w:color="auto"/>
            <w:right w:val="none" w:sz="0" w:space="0" w:color="auto"/>
          </w:divBdr>
        </w:div>
      </w:divsChild>
    </w:div>
    <w:div w:id="672488483">
      <w:bodyDiv w:val="1"/>
      <w:marLeft w:val="0"/>
      <w:marRight w:val="0"/>
      <w:marTop w:val="0"/>
      <w:marBottom w:val="0"/>
      <w:divBdr>
        <w:top w:val="none" w:sz="0" w:space="0" w:color="auto"/>
        <w:left w:val="none" w:sz="0" w:space="0" w:color="auto"/>
        <w:bottom w:val="none" w:sz="0" w:space="0" w:color="auto"/>
        <w:right w:val="none" w:sz="0" w:space="0" w:color="auto"/>
      </w:divBdr>
    </w:div>
    <w:div w:id="693578726">
      <w:bodyDiv w:val="1"/>
      <w:marLeft w:val="0"/>
      <w:marRight w:val="0"/>
      <w:marTop w:val="0"/>
      <w:marBottom w:val="0"/>
      <w:divBdr>
        <w:top w:val="none" w:sz="0" w:space="0" w:color="auto"/>
        <w:left w:val="none" w:sz="0" w:space="0" w:color="auto"/>
        <w:bottom w:val="none" w:sz="0" w:space="0" w:color="auto"/>
        <w:right w:val="none" w:sz="0" w:space="0" w:color="auto"/>
      </w:divBdr>
    </w:div>
    <w:div w:id="883634422">
      <w:bodyDiv w:val="1"/>
      <w:marLeft w:val="0"/>
      <w:marRight w:val="0"/>
      <w:marTop w:val="0"/>
      <w:marBottom w:val="0"/>
      <w:divBdr>
        <w:top w:val="none" w:sz="0" w:space="0" w:color="auto"/>
        <w:left w:val="none" w:sz="0" w:space="0" w:color="auto"/>
        <w:bottom w:val="none" w:sz="0" w:space="0" w:color="auto"/>
        <w:right w:val="none" w:sz="0" w:space="0" w:color="auto"/>
      </w:divBdr>
      <w:divsChild>
        <w:div w:id="344403753">
          <w:marLeft w:val="1800"/>
          <w:marRight w:val="0"/>
          <w:marTop w:val="100"/>
          <w:marBottom w:val="0"/>
          <w:divBdr>
            <w:top w:val="none" w:sz="0" w:space="0" w:color="auto"/>
            <w:left w:val="none" w:sz="0" w:space="0" w:color="auto"/>
            <w:bottom w:val="none" w:sz="0" w:space="0" w:color="auto"/>
            <w:right w:val="none" w:sz="0" w:space="0" w:color="auto"/>
          </w:divBdr>
        </w:div>
        <w:div w:id="379520860">
          <w:marLeft w:val="360"/>
          <w:marRight w:val="0"/>
          <w:marTop w:val="200"/>
          <w:marBottom w:val="0"/>
          <w:divBdr>
            <w:top w:val="none" w:sz="0" w:space="0" w:color="auto"/>
            <w:left w:val="none" w:sz="0" w:space="0" w:color="auto"/>
            <w:bottom w:val="none" w:sz="0" w:space="0" w:color="auto"/>
            <w:right w:val="none" w:sz="0" w:space="0" w:color="auto"/>
          </w:divBdr>
        </w:div>
        <w:div w:id="399599440">
          <w:marLeft w:val="1800"/>
          <w:marRight w:val="0"/>
          <w:marTop w:val="100"/>
          <w:marBottom w:val="0"/>
          <w:divBdr>
            <w:top w:val="none" w:sz="0" w:space="0" w:color="auto"/>
            <w:left w:val="none" w:sz="0" w:space="0" w:color="auto"/>
            <w:bottom w:val="none" w:sz="0" w:space="0" w:color="auto"/>
            <w:right w:val="none" w:sz="0" w:space="0" w:color="auto"/>
          </w:divBdr>
        </w:div>
        <w:div w:id="550313722">
          <w:marLeft w:val="1080"/>
          <w:marRight w:val="0"/>
          <w:marTop w:val="100"/>
          <w:marBottom w:val="0"/>
          <w:divBdr>
            <w:top w:val="none" w:sz="0" w:space="0" w:color="auto"/>
            <w:left w:val="none" w:sz="0" w:space="0" w:color="auto"/>
            <w:bottom w:val="none" w:sz="0" w:space="0" w:color="auto"/>
            <w:right w:val="none" w:sz="0" w:space="0" w:color="auto"/>
          </w:divBdr>
        </w:div>
        <w:div w:id="570316453">
          <w:marLeft w:val="1080"/>
          <w:marRight w:val="0"/>
          <w:marTop w:val="100"/>
          <w:marBottom w:val="0"/>
          <w:divBdr>
            <w:top w:val="none" w:sz="0" w:space="0" w:color="auto"/>
            <w:left w:val="none" w:sz="0" w:space="0" w:color="auto"/>
            <w:bottom w:val="none" w:sz="0" w:space="0" w:color="auto"/>
            <w:right w:val="none" w:sz="0" w:space="0" w:color="auto"/>
          </w:divBdr>
        </w:div>
        <w:div w:id="1052921029">
          <w:marLeft w:val="1800"/>
          <w:marRight w:val="0"/>
          <w:marTop w:val="100"/>
          <w:marBottom w:val="0"/>
          <w:divBdr>
            <w:top w:val="none" w:sz="0" w:space="0" w:color="auto"/>
            <w:left w:val="none" w:sz="0" w:space="0" w:color="auto"/>
            <w:bottom w:val="none" w:sz="0" w:space="0" w:color="auto"/>
            <w:right w:val="none" w:sz="0" w:space="0" w:color="auto"/>
          </w:divBdr>
        </w:div>
        <w:div w:id="1605334516">
          <w:marLeft w:val="1800"/>
          <w:marRight w:val="0"/>
          <w:marTop w:val="100"/>
          <w:marBottom w:val="0"/>
          <w:divBdr>
            <w:top w:val="none" w:sz="0" w:space="0" w:color="auto"/>
            <w:left w:val="none" w:sz="0" w:space="0" w:color="auto"/>
            <w:bottom w:val="none" w:sz="0" w:space="0" w:color="auto"/>
            <w:right w:val="none" w:sz="0" w:space="0" w:color="auto"/>
          </w:divBdr>
        </w:div>
      </w:divsChild>
    </w:div>
    <w:div w:id="1036077665">
      <w:bodyDiv w:val="1"/>
      <w:marLeft w:val="0"/>
      <w:marRight w:val="0"/>
      <w:marTop w:val="0"/>
      <w:marBottom w:val="0"/>
      <w:divBdr>
        <w:top w:val="none" w:sz="0" w:space="0" w:color="auto"/>
        <w:left w:val="none" w:sz="0" w:space="0" w:color="auto"/>
        <w:bottom w:val="none" w:sz="0" w:space="0" w:color="auto"/>
        <w:right w:val="none" w:sz="0" w:space="0" w:color="auto"/>
      </w:divBdr>
    </w:div>
    <w:div w:id="1137601105">
      <w:bodyDiv w:val="1"/>
      <w:marLeft w:val="0"/>
      <w:marRight w:val="0"/>
      <w:marTop w:val="0"/>
      <w:marBottom w:val="0"/>
      <w:divBdr>
        <w:top w:val="none" w:sz="0" w:space="0" w:color="auto"/>
        <w:left w:val="none" w:sz="0" w:space="0" w:color="auto"/>
        <w:bottom w:val="none" w:sz="0" w:space="0" w:color="auto"/>
        <w:right w:val="none" w:sz="0" w:space="0" w:color="auto"/>
      </w:divBdr>
    </w:div>
    <w:div w:id="1318725986">
      <w:bodyDiv w:val="1"/>
      <w:marLeft w:val="0"/>
      <w:marRight w:val="0"/>
      <w:marTop w:val="0"/>
      <w:marBottom w:val="0"/>
      <w:divBdr>
        <w:top w:val="none" w:sz="0" w:space="0" w:color="auto"/>
        <w:left w:val="none" w:sz="0" w:space="0" w:color="auto"/>
        <w:bottom w:val="none" w:sz="0" w:space="0" w:color="auto"/>
        <w:right w:val="none" w:sz="0" w:space="0" w:color="auto"/>
      </w:divBdr>
      <w:divsChild>
        <w:div w:id="239023475">
          <w:marLeft w:val="1800"/>
          <w:marRight w:val="0"/>
          <w:marTop w:val="100"/>
          <w:marBottom w:val="0"/>
          <w:divBdr>
            <w:top w:val="none" w:sz="0" w:space="0" w:color="auto"/>
            <w:left w:val="none" w:sz="0" w:space="0" w:color="auto"/>
            <w:bottom w:val="none" w:sz="0" w:space="0" w:color="auto"/>
            <w:right w:val="none" w:sz="0" w:space="0" w:color="auto"/>
          </w:divBdr>
        </w:div>
        <w:div w:id="394395955">
          <w:marLeft w:val="1800"/>
          <w:marRight w:val="0"/>
          <w:marTop w:val="100"/>
          <w:marBottom w:val="0"/>
          <w:divBdr>
            <w:top w:val="none" w:sz="0" w:space="0" w:color="auto"/>
            <w:left w:val="none" w:sz="0" w:space="0" w:color="auto"/>
            <w:bottom w:val="none" w:sz="0" w:space="0" w:color="auto"/>
            <w:right w:val="none" w:sz="0" w:space="0" w:color="auto"/>
          </w:divBdr>
        </w:div>
        <w:div w:id="1322779806">
          <w:marLeft w:val="1800"/>
          <w:marRight w:val="0"/>
          <w:marTop w:val="100"/>
          <w:marBottom w:val="0"/>
          <w:divBdr>
            <w:top w:val="none" w:sz="0" w:space="0" w:color="auto"/>
            <w:left w:val="none" w:sz="0" w:space="0" w:color="auto"/>
            <w:bottom w:val="none" w:sz="0" w:space="0" w:color="auto"/>
            <w:right w:val="none" w:sz="0" w:space="0" w:color="auto"/>
          </w:divBdr>
        </w:div>
        <w:div w:id="2126384331">
          <w:marLeft w:val="1800"/>
          <w:marRight w:val="0"/>
          <w:marTop w:val="100"/>
          <w:marBottom w:val="0"/>
          <w:divBdr>
            <w:top w:val="none" w:sz="0" w:space="0" w:color="auto"/>
            <w:left w:val="none" w:sz="0" w:space="0" w:color="auto"/>
            <w:bottom w:val="none" w:sz="0" w:space="0" w:color="auto"/>
            <w:right w:val="none" w:sz="0" w:space="0" w:color="auto"/>
          </w:divBdr>
        </w:div>
      </w:divsChild>
    </w:div>
    <w:div w:id="1638487388">
      <w:bodyDiv w:val="1"/>
      <w:marLeft w:val="0"/>
      <w:marRight w:val="0"/>
      <w:marTop w:val="0"/>
      <w:marBottom w:val="0"/>
      <w:divBdr>
        <w:top w:val="none" w:sz="0" w:space="0" w:color="auto"/>
        <w:left w:val="none" w:sz="0" w:space="0" w:color="auto"/>
        <w:bottom w:val="none" w:sz="0" w:space="0" w:color="auto"/>
        <w:right w:val="none" w:sz="0" w:space="0" w:color="auto"/>
      </w:divBdr>
    </w:div>
    <w:div w:id="1767269301">
      <w:bodyDiv w:val="1"/>
      <w:marLeft w:val="0"/>
      <w:marRight w:val="0"/>
      <w:marTop w:val="0"/>
      <w:marBottom w:val="0"/>
      <w:divBdr>
        <w:top w:val="none" w:sz="0" w:space="0" w:color="auto"/>
        <w:left w:val="none" w:sz="0" w:space="0" w:color="auto"/>
        <w:bottom w:val="none" w:sz="0" w:space="0" w:color="auto"/>
        <w:right w:val="none" w:sz="0" w:space="0" w:color="auto"/>
      </w:divBdr>
    </w:div>
    <w:div w:id="20590106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chart" Target="charts/chart2.xml"/><Relationship Id="rId4" Type="http://schemas.openxmlformats.org/officeDocument/2006/relationships/customXml" Target="../customXml/item4.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ezpuxxi\OneDrive%20-%20Ericsson%20AB\work%20space\3GPP%20standardizations\Self-report\3GPP_note\Rel-18%20topics\ATG\link%20budget%20for%20ATG.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ezpuxxi\OneDrive%20-%20Ericsson%20AB\work%20space\3GPP%20standardizations\Self-report\3GPP_note\Rel-18%20topics\ATG\link%20budget%20for%20ATG.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Received</a:t>
            </a:r>
            <a:r>
              <a:rPr lang="en-US" baseline="0"/>
              <a:t> SNR for FDD 20MHz @ 2GHz</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45603674540683"/>
          <c:y val="0.17171296296296296"/>
          <c:w val="0.82219203849518807"/>
          <c:h val="0.65570173519976682"/>
        </c:manualLayout>
      </c:layout>
      <c:lineChart>
        <c:grouping val="standard"/>
        <c:varyColors val="0"/>
        <c:ser>
          <c:idx val="0"/>
          <c:order val="0"/>
          <c:tx>
            <c:v>DL</c:v>
          </c:tx>
          <c:spPr>
            <a:ln w="28575" cap="rnd">
              <a:solidFill>
                <a:schemeClr val="accent1"/>
              </a:solidFill>
              <a:round/>
            </a:ln>
            <a:effectLst/>
          </c:spPr>
          <c:marker>
            <c:symbol val="none"/>
          </c:marker>
          <c:cat>
            <c:numRef>
              <c:f>Sheet1!$E$16:$E$45</c:f>
              <c:numCache>
                <c:formatCode>General</c:formatCode>
                <c:ptCount val="30"/>
                <c:pt idx="0">
                  <c:v>10</c:v>
                </c:pt>
                <c:pt idx="1">
                  <c:v>20</c:v>
                </c:pt>
                <c:pt idx="2">
                  <c:v>30</c:v>
                </c:pt>
                <c:pt idx="3">
                  <c:v>40</c:v>
                </c:pt>
                <c:pt idx="4">
                  <c:v>50</c:v>
                </c:pt>
                <c:pt idx="5">
                  <c:v>60</c:v>
                </c:pt>
                <c:pt idx="6">
                  <c:v>70</c:v>
                </c:pt>
                <c:pt idx="7">
                  <c:v>80</c:v>
                </c:pt>
                <c:pt idx="8">
                  <c:v>90</c:v>
                </c:pt>
                <c:pt idx="9">
                  <c:v>100</c:v>
                </c:pt>
                <c:pt idx="10">
                  <c:v>110</c:v>
                </c:pt>
                <c:pt idx="11">
                  <c:v>120</c:v>
                </c:pt>
                <c:pt idx="12">
                  <c:v>130</c:v>
                </c:pt>
                <c:pt idx="13">
                  <c:v>140</c:v>
                </c:pt>
                <c:pt idx="14">
                  <c:v>150</c:v>
                </c:pt>
                <c:pt idx="15">
                  <c:v>160</c:v>
                </c:pt>
                <c:pt idx="16">
                  <c:v>170</c:v>
                </c:pt>
                <c:pt idx="17">
                  <c:v>180</c:v>
                </c:pt>
                <c:pt idx="18">
                  <c:v>190</c:v>
                </c:pt>
                <c:pt idx="19">
                  <c:v>200</c:v>
                </c:pt>
                <c:pt idx="20">
                  <c:v>210</c:v>
                </c:pt>
                <c:pt idx="21">
                  <c:v>220</c:v>
                </c:pt>
                <c:pt idx="22">
                  <c:v>230</c:v>
                </c:pt>
                <c:pt idx="23">
                  <c:v>240</c:v>
                </c:pt>
                <c:pt idx="24">
                  <c:v>250</c:v>
                </c:pt>
                <c:pt idx="25">
                  <c:v>260</c:v>
                </c:pt>
                <c:pt idx="26">
                  <c:v>270</c:v>
                </c:pt>
                <c:pt idx="27">
                  <c:v>280</c:v>
                </c:pt>
                <c:pt idx="28">
                  <c:v>290</c:v>
                </c:pt>
                <c:pt idx="29">
                  <c:v>300</c:v>
                </c:pt>
              </c:numCache>
            </c:numRef>
          </c:cat>
          <c:val>
            <c:numRef>
              <c:f>Sheet1!$F$16:$F$45</c:f>
              <c:numCache>
                <c:formatCode>0.0</c:formatCode>
                <c:ptCount val="30"/>
                <c:pt idx="0">
                  <c:v>42.996328713435304</c:v>
                </c:pt>
                <c:pt idx="1">
                  <c:v>36.975728800155679</c:v>
                </c:pt>
                <c:pt idx="2">
                  <c:v>33.453903619042052</c:v>
                </c:pt>
                <c:pt idx="3">
                  <c:v>30.955128886876054</c:v>
                </c:pt>
                <c:pt idx="4">
                  <c:v>29.016928626714929</c:v>
                </c:pt>
                <c:pt idx="5">
                  <c:v>27.433303705762427</c:v>
                </c:pt>
                <c:pt idx="6">
                  <c:v>26.094367913150165</c:v>
                </c:pt>
                <c:pt idx="7">
                  <c:v>24.934528973596429</c:v>
                </c:pt>
                <c:pt idx="8">
                  <c:v>23.9114785246488</c:v>
                </c:pt>
                <c:pt idx="9">
                  <c:v>22.996328713435304</c:v>
                </c:pt>
                <c:pt idx="10">
                  <c:v>22.168475010270811</c:v>
                </c:pt>
                <c:pt idx="11">
                  <c:v>21.412703792482802</c:v>
                </c:pt>
                <c:pt idx="12">
                  <c:v>20.717461667298551</c:v>
                </c:pt>
                <c:pt idx="13">
                  <c:v>20.07376799987054</c:v>
                </c:pt>
                <c:pt idx="14">
                  <c:v>19.474503532321677</c:v>
                </c:pt>
                <c:pt idx="15">
                  <c:v>18.913929060316804</c:v>
                </c:pt>
                <c:pt idx="16">
                  <c:v>18.387350285869815</c:v>
                </c:pt>
                <c:pt idx="17">
                  <c:v>17.890878611369175</c:v>
                </c:pt>
                <c:pt idx="18">
                  <c:v>17.421256694378712</c:v>
                </c:pt>
                <c:pt idx="19">
                  <c:v>16.975728800155679</c:v>
                </c:pt>
                <c:pt idx="20">
                  <c:v>16.551942818756913</c:v>
                </c:pt>
                <c:pt idx="21">
                  <c:v>16.147875096991186</c:v>
                </c:pt>
                <c:pt idx="22">
                  <c:v>15.761771993083443</c:v>
                </c:pt>
                <c:pt idx="23">
                  <c:v>15.392103879203177</c:v>
                </c:pt>
                <c:pt idx="24">
                  <c:v>15.037528539994554</c:v>
                </c:pt>
                <c:pt idx="25">
                  <c:v>14.696861754018954</c:v>
                </c:pt>
                <c:pt idx="26">
                  <c:v>14.369053430255548</c:v>
                </c:pt>
                <c:pt idx="27">
                  <c:v>14.053168086590915</c:v>
                </c:pt>
                <c:pt idx="28">
                  <c:v>13.74836875545617</c:v>
                </c:pt>
                <c:pt idx="29">
                  <c:v>13.453903619042052</c:v>
                </c:pt>
              </c:numCache>
            </c:numRef>
          </c:val>
          <c:smooth val="0"/>
          <c:extLst>
            <c:ext xmlns:c16="http://schemas.microsoft.com/office/drawing/2014/chart" uri="{C3380CC4-5D6E-409C-BE32-E72D297353CC}">
              <c16:uniqueId val="{00000000-F826-438A-A3E1-809AF7F9481C}"/>
            </c:ext>
          </c:extLst>
        </c:ser>
        <c:ser>
          <c:idx val="1"/>
          <c:order val="1"/>
          <c:tx>
            <c:v>UL</c:v>
          </c:tx>
          <c:spPr>
            <a:ln w="28575" cap="rnd">
              <a:solidFill>
                <a:schemeClr val="accent2"/>
              </a:solidFill>
              <a:round/>
            </a:ln>
            <a:effectLst/>
          </c:spPr>
          <c:marker>
            <c:symbol val="none"/>
          </c:marker>
          <c:cat>
            <c:numRef>
              <c:f>Sheet1!$E$16:$E$45</c:f>
              <c:numCache>
                <c:formatCode>General</c:formatCode>
                <c:ptCount val="30"/>
                <c:pt idx="0">
                  <c:v>10</c:v>
                </c:pt>
                <c:pt idx="1">
                  <c:v>20</c:v>
                </c:pt>
                <c:pt idx="2">
                  <c:v>30</c:v>
                </c:pt>
                <c:pt idx="3">
                  <c:v>40</c:v>
                </c:pt>
                <c:pt idx="4">
                  <c:v>50</c:v>
                </c:pt>
                <c:pt idx="5">
                  <c:v>60</c:v>
                </c:pt>
                <c:pt idx="6">
                  <c:v>70</c:v>
                </c:pt>
                <c:pt idx="7">
                  <c:v>80</c:v>
                </c:pt>
                <c:pt idx="8">
                  <c:v>90</c:v>
                </c:pt>
                <c:pt idx="9">
                  <c:v>100</c:v>
                </c:pt>
                <c:pt idx="10">
                  <c:v>110</c:v>
                </c:pt>
                <c:pt idx="11">
                  <c:v>120</c:v>
                </c:pt>
                <c:pt idx="12">
                  <c:v>130</c:v>
                </c:pt>
                <c:pt idx="13">
                  <c:v>140</c:v>
                </c:pt>
                <c:pt idx="14">
                  <c:v>150</c:v>
                </c:pt>
                <c:pt idx="15">
                  <c:v>160</c:v>
                </c:pt>
                <c:pt idx="16">
                  <c:v>170</c:v>
                </c:pt>
                <c:pt idx="17">
                  <c:v>180</c:v>
                </c:pt>
                <c:pt idx="18">
                  <c:v>190</c:v>
                </c:pt>
                <c:pt idx="19">
                  <c:v>200</c:v>
                </c:pt>
                <c:pt idx="20">
                  <c:v>210</c:v>
                </c:pt>
                <c:pt idx="21">
                  <c:v>220</c:v>
                </c:pt>
                <c:pt idx="22">
                  <c:v>230</c:v>
                </c:pt>
                <c:pt idx="23">
                  <c:v>240</c:v>
                </c:pt>
                <c:pt idx="24">
                  <c:v>250</c:v>
                </c:pt>
                <c:pt idx="25">
                  <c:v>260</c:v>
                </c:pt>
                <c:pt idx="26">
                  <c:v>270</c:v>
                </c:pt>
                <c:pt idx="27">
                  <c:v>280</c:v>
                </c:pt>
                <c:pt idx="28">
                  <c:v>290</c:v>
                </c:pt>
                <c:pt idx="29">
                  <c:v>300</c:v>
                </c:pt>
              </c:numCache>
            </c:numRef>
          </c:cat>
          <c:val>
            <c:numRef>
              <c:f>Sheet1!$G$16:$G$45</c:f>
              <c:numCache>
                <c:formatCode>0.0</c:formatCode>
                <c:ptCount val="30"/>
                <c:pt idx="0">
                  <c:v>43.996328713435304</c:v>
                </c:pt>
                <c:pt idx="1">
                  <c:v>37.975728800155679</c:v>
                </c:pt>
                <c:pt idx="2">
                  <c:v>34.453903619042052</c:v>
                </c:pt>
                <c:pt idx="3">
                  <c:v>31.955128886876054</c:v>
                </c:pt>
                <c:pt idx="4">
                  <c:v>30.016928626714929</c:v>
                </c:pt>
                <c:pt idx="5">
                  <c:v>28.433303705762427</c:v>
                </c:pt>
                <c:pt idx="6">
                  <c:v>27.094367913150165</c:v>
                </c:pt>
                <c:pt idx="7">
                  <c:v>25.934528973596429</c:v>
                </c:pt>
                <c:pt idx="8">
                  <c:v>24.9114785246488</c:v>
                </c:pt>
                <c:pt idx="9">
                  <c:v>23.996328713435304</c:v>
                </c:pt>
                <c:pt idx="10">
                  <c:v>23.168475010270811</c:v>
                </c:pt>
                <c:pt idx="11">
                  <c:v>22.412703792482802</c:v>
                </c:pt>
                <c:pt idx="12">
                  <c:v>21.717461667298551</c:v>
                </c:pt>
                <c:pt idx="13">
                  <c:v>21.07376799987054</c:v>
                </c:pt>
                <c:pt idx="14">
                  <c:v>20.474503532321677</c:v>
                </c:pt>
                <c:pt idx="15">
                  <c:v>19.913929060316804</c:v>
                </c:pt>
                <c:pt idx="16">
                  <c:v>19.387350285869815</c:v>
                </c:pt>
                <c:pt idx="17">
                  <c:v>18.890878611369175</c:v>
                </c:pt>
                <c:pt idx="18">
                  <c:v>18.421256694378712</c:v>
                </c:pt>
                <c:pt idx="19">
                  <c:v>17.975728800155679</c:v>
                </c:pt>
                <c:pt idx="20">
                  <c:v>17.551942818756913</c:v>
                </c:pt>
                <c:pt idx="21">
                  <c:v>17.147875096991186</c:v>
                </c:pt>
                <c:pt idx="22">
                  <c:v>16.761771993083443</c:v>
                </c:pt>
                <c:pt idx="23">
                  <c:v>16.392103879203177</c:v>
                </c:pt>
                <c:pt idx="24">
                  <c:v>16.037528539994554</c:v>
                </c:pt>
                <c:pt idx="25">
                  <c:v>15.696861754018954</c:v>
                </c:pt>
                <c:pt idx="26">
                  <c:v>15.369053430255548</c:v>
                </c:pt>
                <c:pt idx="27">
                  <c:v>15.053168086590915</c:v>
                </c:pt>
                <c:pt idx="28">
                  <c:v>14.74836875545617</c:v>
                </c:pt>
                <c:pt idx="29">
                  <c:v>14.453903619042052</c:v>
                </c:pt>
              </c:numCache>
            </c:numRef>
          </c:val>
          <c:smooth val="0"/>
          <c:extLst>
            <c:ext xmlns:c16="http://schemas.microsoft.com/office/drawing/2014/chart" uri="{C3380CC4-5D6E-409C-BE32-E72D297353CC}">
              <c16:uniqueId val="{00000001-F826-438A-A3E1-809AF7F9481C}"/>
            </c:ext>
          </c:extLst>
        </c:ser>
        <c:dLbls>
          <c:showLegendKey val="0"/>
          <c:showVal val="0"/>
          <c:showCatName val="0"/>
          <c:showSerName val="0"/>
          <c:showPercent val="0"/>
          <c:showBubbleSize val="0"/>
        </c:dLbls>
        <c:smooth val="0"/>
        <c:axId val="1050542952"/>
        <c:axId val="1050548528"/>
      </c:lineChart>
      <c:catAx>
        <c:axId val="105054295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Distance</a:t>
                </a:r>
                <a:r>
                  <a:rPr lang="en-US" baseline="0"/>
                  <a:t> [km]</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50548528"/>
        <c:crosses val="autoZero"/>
        <c:auto val="1"/>
        <c:lblAlgn val="ctr"/>
        <c:lblOffset val="100"/>
        <c:noMultiLvlLbl val="0"/>
      </c:catAx>
      <c:valAx>
        <c:axId val="105054852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SNR [dB]</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50542952"/>
        <c:crosses val="autoZero"/>
        <c:crossBetween val="between"/>
      </c:valAx>
      <c:spPr>
        <a:noFill/>
        <a:ln>
          <a:noFill/>
        </a:ln>
        <a:effectLst/>
      </c:spPr>
    </c:plotArea>
    <c:legend>
      <c:legendPos val="b"/>
      <c:layout>
        <c:manualLayout>
          <c:xMode val="edge"/>
          <c:yMode val="edge"/>
          <c:x val="0.63575524934383199"/>
          <c:y val="0.23205963837853597"/>
          <c:w val="0.22293372703412073"/>
          <c:h val="7.8125546806649168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Received</a:t>
            </a:r>
            <a:r>
              <a:rPr lang="en-US" baseline="0"/>
              <a:t> SNR for TDD 100MHz @ 4GHz</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45603674540683"/>
          <c:y val="0.17171296296296296"/>
          <c:w val="0.83358048993875766"/>
          <c:h val="0.6464424759405073"/>
        </c:manualLayout>
      </c:layout>
      <c:lineChart>
        <c:grouping val="standard"/>
        <c:varyColors val="0"/>
        <c:ser>
          <c:idx val="0"/>
          <c:order val="0"/>
          <c:tx>
            <c:v>DL</c:v>
          </c:tx>
          <c:spPr>
            <a:ln w="28575" cap="rnd">
              <a:solidFill>
                <a:schemeClr val="accent1"/>
              </a:solidFill>
              <a:round/>
            </a:ln>
            <a:effectLst/>
          </c:spPr>
          <c:marker>
            <c:symbol val="none"/>
          </c:marker>
          <c:cat>
            <c:numRef>
              <c:f>Sheet1!$E$16:$E$45</c:f>
              <c:numCache>
                <c:formatCode>General</c:formatCode>
                <c:ptCount val="30"/>
                <c:pt idx="0">
                  <c:v>10</c:v>
                </c:pt>
                <c:pt idx="1">
                  <c:v>20</c:v>
                </c:pt>
                <c:pt idx="2">
                  <c:v>30</c:v>
                </c:pt>
                <c:pt idx="3">
                  <c:v>40</c:v>
                </c:pt>
                <c:pt idx="4">
                  <c:v>50</c:v>
                </c:pt>
                <c:pt idx="5">
                  <c:v>60</c:v>
                </c:pt>
                <c:pt idx="6">
                  <c:v>70</c:v>
                </c:pt>
                <c:pt idx="7">
                  <c:v>80</c:v>
                </c:pt>
                <c:pt idx="8">
                  <c:v>90</c:v>
                </c:pt>
                <c:pt idx="9">
                  <c:v>100</c:v>
                </c:pt>
                <c:pt idx="10">
                  <c:v>110</c:v>
                </c:pt>
                <c:pt idx="11">
                  <c:v>120</c:v>
                </c:pt>
                <c:pt idx="12">
                  <c:v>130</c:v>
                </c:pt>
                <c:pt idx="13">
                  <c:v>140</c:v>
                </c:pt>
                <c:pt idx="14">
                  <c:v>150</c:v>
                </c:pt>
                <c:pt idx="15">
                  <c:v>160</c:v>
                </c:pt>
                <c:pt idx="16">
                  <c:v>170</c:v>
                </c:pt>
                <c:pt idx="17">
                  <c:v>180</c:v>
                </c:pt>
                <c:pt idx="18">
                  <c:v>190</c:v>
                </c:pt>
                <c:pt idx="19">
                  <c:v>200</c:v>
                </c:pt>
                <c:pt idx="20">
                  <c:v>210</c:v>
                </c:pt>
                <c:pt idx="21">
                  <c:v>220</c:v>
                </c:pt>
                <c:pt idx="22">
                  <c:v>230</c:v>
                </c:pt>
                <c:pt idx="23">
                  <c:v>240</c:v>
                </c:pt>
                <c:pt idx="24">
                  <c:v>250</c:v>
                </c:pt>
                <c:pt idx="25">
                  <c:v>260</c:v>
                </c:pt>
                <c:pt idx="26">
                  <c:v>270</c:v>
                </c:pt>
                <c:pt idx="27">
                  <c:v>280</c:v>
                </c:pt>
                <c:pt idx="28">
                  <c:v>290</c:v>
                </c:pt>
                <c:pt idx="29">
                  <c:v>300</c:v>
                </c:pt>
              </c:numCache>
            </c:numRef>
          </c:cat>
          <c:val>
            <c:numRef>
              <c:f>Sheet1!$H$16:$H$45</c:f>
              <c:numCache>
                <c:formatCode>0.0</c:formatCode>
                <c:ptCount val="30"/>
                <c:pt idx="0">
                  <c:v>40.965428843515866</c:v>
                </c:pt>
                <c:pt idx="1">
                  <c:v>34.944828930236241</c:v>
                </c:pt>
                <c:pt idx="2">
                  <c:v>31.423003749122614</c:v>
                </c:pt>
                <c:pt idx="3">
                  <c:v>28.924229016956616</c:v>
                </c:pt>
                <c:pt idx="4">
                  <c:v>26.986028756795491</c:v>
                </c:pt>
                <c:pt idx="5">
                  <c:v>25.402403835842989</c:v>
                </c:pt>
                <c:pt idx="6">
                  <c:v>24.063468043230728</c:v>
                </c:pt>
                <c:pt idx="7">
                  <c:v>22.903629103676991</c:v>
                </c:pt>
                <c:pt idx="8">
                  <c:v>21.880578654729362</c:v>
                </c:pt>
                <c:pt idx="9">
                  <c:v>20.965428843515866</c:v>
                </c:pt>
                <c:pt idx="10">
                  <c:v>20.137575140351373</c:v>
                </c:pt>
                <c:pt idx="11">
                  <c:v>19.381803922563364</c:v>
                </c:pt>
                <c:pt idx="12">
                  <c:v>18.686561797379113</c:v>
                </c:pt>
                <c:pt idx="13">
                  <c:v>18.042868129951103</c:v>
                </c:pt>
                <c:pt idx="14">
                  <c:v>17.443603662402239</c:v>
                </c:pt>
                <c:pt idx="15">
                  <c:v>16.883029190397366</c:v>
                </c:pt>
                <c:pt idx="16">
                  <c:v>16.356450415950377</c:v>
                </c:pt>
                <c:pt idx="17">
                  <c:v>15.859978741449737</c:v>
                </c:pt>
                <c:pt idx="18">
                  <c:v>15.390356824459275</c:v>
                </c:pt>
                <c:pt idx="19">
                  <c:v>14.944828930236241</c:v>
                </c:pt>
                <c:pt idx="20">
                  <c:v>14.521042948837476</c:v>
                </c:pt>
                <c:pt idx="21">
                  <c:v>14.116975227071748</c:v>
                </c:pt>
                <c:pt idx="22">
                  <c:v>13.730872123164005</c:v>
                </c:pt>
                <c:pt idx="23">
                  <c:v>13.361204009283739</c:v>
                </c:pt>
                <c:pt idx="24">
                  <c:v>13.006628670075116</c:v>
                </c:pt>
                <c:pt idx="25">
                  <c:v>12.665961884099517</c:v>
                </c:pt>
                <c:pt idx="26">
                  <c:v>12.33815356033611</c:v>
                </c:pt>
                <c:pt idx="27">
                  <c:v>12.022268216671478</c:v>
                </c:pt>
                <c:pt idx="28">
                  <c:v>11.717468885536732</c:v>
                </c:pt>
                <c:pt idx="29">
                  <c:v>11.423003749122614</c:v>
                </c:pt>
              </c:numCache>
            </c:numRef>
          </c:val>
          <c:smooth val="0"/>
          <c:extLst>
            <c:ext xmlns:c16="http://schemas.microsoft.com/office/drawing/2014/chart" uri="{C3380CC4-5D6E-409C-BE32-E72D297353CC}">
              <c16:uniqueId val="{00000000-3A15-4398-9600-59226F601073}"/>
            </c:ext>
          </c:extLst>
        </c:ser>
        <c:ser>
          <c:idx val="1"/>
          <c:order val="1"/>
          <c:tx>
            <c:v>UL</c:v>
          </c:tx>
          <c:spPr>
            <a:ln w="28575" cap="rnd">
              <a:solidFill>
                <a:schemeClr val="accent2"/>
              </a:solidFill>
              <a:round/>
            </a:ln>
            <a:effectLst/>
          </c:spPr>
          <c:marker>
            <c:symbol val="none"/>
          </c:marker>
          <c:cat>
            <c:numRef>
              <c:f>Sheet1!$E$16:$E$45</c:f>
              <c:numCache>
                <c:formatCode>General</c:formatCode>
                <c:ptCount val="30"/>
                <c:pt idx="0">
                  <c:v>10</c:v>
                </c:pt>
                <c:pt idx="1">
                  <c:v>20</c:v>
                </c:pt>
                <c:pt idx="2">
                  <c:v>30</c:v>
                </c:pt>
                <c:pt idx="3">
                  <c:v>40</c:v>
                </c:pt>
                <c:pt idx="4">
                  <c:v>50</c:v>
                </c:pt>
                <c:pt idx="5">
                  <c:v>60</c:v>
                </c:pt>
                <c:pt idx="6">
                  <c:v>70</c:v>
                </c:pt>
                <c:pt idx="7">
                  <c:v>80</c:v>
                </c:pt>
                <c:pt idx="8">
                  <c:v>90</c:v>
                </c:pt>
                <c:pt idx="9">
                  <c:v>100</c:v>
                </c:pt>
                <c:pt idx="10">
                  <c:v>110</c:v>
                </c:pt>
                <c:pt idx="11">
                  <c:v>120</c:v>
                </c:pt>
                <c:pt idx="12">
                  <c:v>130</c:v>
                </c:pt>
                <c:pt idx="13">
                  <c:v>140</c:v>
                </c:pt>
                <c:pt idx="14">
                  <c:v>150</c:v>
                </c:pt>
                <c:pt idx="15">
                  <c:v>160</c:v>
                </c:pt>
                <c:pt idx="16">
                  <c:v>170</c:v>
                </c:pt>
                <c:pt idx="17">
                  <c:v>180</c:v>
                </c:pt>
                <c:pt idx="18">
                  <c:v>190</c:v>
                </c:pt>
                <c:pt idx="19">
                  <c:v>200</c:v>
                </c:pt>
                <c:pt idx="20">
                  <c:v>210</c:v>
                </c:pt>
                <c:pt idx="21">
                  <c:v>220</c:v>
                </c:pt>
                <c:pt idx="22">
                  <c:v>230</c:v>
                </c:pt>
                <c:pt idx="23">
                  <c:v>240</c:v>
                </c:pt>
                <c:pt idx="24">
                  <c:v>250</c:v>
                </c:pt>
                <c:pt idx="25">
                  <c:v>260</c:v>
                </c:pt>
                <c:pt idx="26">
                  <c:v>270</c:v>
                </c:pt>
                <c:pt idx="27">
                  <c:v>280</c:v>
                </c:pt>
                <c:pt idx="28">
                  <c:v>290</c:v>
                </c:pt>
                <c:pt idx="29">
                  <c:v>300</c:v>
                </c:pt>
              </c:numCache>
            </c:numRef>
          </c:cat>
          <c:val>
            <c:numRef>
              <c:f>Sheet1!$I$16:$I$45</c:f>
              <c:numCache>
                <c:formatCode>0.0</c:formatCode>
                <c:ptCount val="30"/>
                <c:pt idx="0">
                  <c:v>37.965428843515866</c:v>
                </c:pt>
                <c:pt idx="1">
                  <c:v>31.944828930236241</c:v>
                </c:pt>
                <c:pt idx="2">
                  <c:v>28.423003749122614</c:v>
                </c:pt>
                <c:pt idx="3">
                  <c:v>25.924229016956616</c:v>
                </c:pt>
                <c:pt idx="4">
                  <c:v>23.986028756795491</c:v>
                </c:pt>
                <c:pt idx="5">
                  <c:v>22.402403835842989</c:v>
                </c:pt>
                <c:pt idx="6">
                  <c:v>21.063468043230728</c:v>
                </c:pt>
                <c:pt idx="7">
                  <c:v>19.903629103676991</c:v>
                </c:pt>
                <c:pt idx="8">
                  <c:v>18.880578654729362</c:v>
                </c:pt>
                <c:pt idx="9">
                  <c:v>17.965428843515866</c:v>
                </c:pt>
                <c:pt idx="10">
                  <c:v>17.137575140351373</c:v>
                </c:pt>
                <c:pt idx="11">
                  <c:v>16.381803922563364</c:v>
                </c:pt>
                <c:pt idx="12">
                  <c:v>15.686561797379113</c:v>
                </c:pt>
                <c:pt idx="13">
                  <c:v>15.042868129951103</c:v>
                </c:pt>
                <c:pt idx="14">
                  <c:v>14.443603662402239</c:v>
                </c:pt>
                <c:pt idx="15">
                  <c:v>13.883029190397366</c:v>
                </c:pt>
                <c:pt idx="16">
                  <c:v>13.356450415950377</c:v>
                </c:pt>
                <c:pt idx="17">
                  <c:v>12.859978741449737</c:v>
                </c:pt>
                <c:pt idx="18">
                  <c:v>12.390356824459275</c:v>
                </c:pt>
                <c:pt idx="19">
                  <c:v>11.944828930236241</c:v>
                </c:pt>
                <c:pt idx="20">
                  <c:v>11.521042948837476</c:v>
                </c:pt>
                <c:pt idx="21">
                  <c:v>11.116975227071748</c:v>
                </c:pt>
                <c:pt idx="22">
                  <c:v>10.730872123164005</c:v>
                </c:pt>
                <c:pt idx="23">
                  <c:v>10.361204009283739</c:v>
                </c:pt>
                <c:pt idx="24">
                  <c:v>10.006628670075116</c:v>
                </c:pt>
                <c:pt idx="25">
                  <c:v>9.6659618840995165</c:v>
                </c:pt>
                <c:pt idx="26">
                  <c:v>9.3381535603361101</c:v>
                </c:pt>
                <c:pt idx="27">
                  <c:v>9.0222682166714776</c:v>
                </c:pt>
                <c:pt idx="28">
                  <c:v>8.7174688855367322</c:v>
                </c:pt>
                <c:pt idx="29">
                  <c:v>8.4230037491226142</c:v>
                </c:pt>
              </c:numCache>
            </c:numRef>
          </c:val>
          <c:smooth val="0"/>
          <c:extLst>
            <c:ext xmlns:c16="http://schemas.microsoft.com/office/drawing/2014/chart" uri="{C3380CC4-5D6E-409C-BE32-E72D297353CC}">
              <c16:uniqueId val="{00000001-3A15-4398-9600-59226F601073}"/>
            </c:ext>
          </c:extLst>
        </c:ser>
        <c:dLbls>
          <c:showLegendKey val="0"/>
          <c:showVal val="0"/>
          <c:showCatName val="0"/>
          <c:showSerName val="0"/>
          <c:showPercent val="0"/>
          <c:showBubbleSize val="0"/>
        </c:dLbls>
        <c:smooth val="0"/>
        <c:axId val="1078052784"/>
        <c:axId val="1078054096"/>
      </c:lineChart>
      <c:catAx>
        <c:axId val="107805278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Distance</a:t>
                </a:r>
                <a:r>
                  <a:rPr lang="en-US" baseline="0"/>
                  <a:t> [km]</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78054096"/>
        <c:crosses val="autoZero"/>
        <c:auto val="1"/>
        <c:lblAlgn val="ctr"/>
        <c:lblOffset val="100"/>
        <c:noMultiLvlLbl val="0"/>
      </c:catAx>
      <c:valAx>
        <c:axId val="107805409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SNR [dB]</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78052784"/>
        <c:crosses val="autoZero"/>
        <c:crossBetween val="between"/>
      </c:valAx>
      <c:spPr>
        <a:noFill/>
        <a:ln>
          <a:noFill/>
        </a:ln>
        <a:effectLst/>
      </c:spPr>
    </c:plotArea>
    <c:legend>
      <c:legendPos val="b"/>
      <c:layout>
        <c:manualLayout>
          <c:xMode val="edge"/>
          <c:yMode val="edge"/>
          <c:x val="0.63297747156605422"/>
          <c:y val="0.24131889763779524"/>
          <c:w val="0.22293372703412073"/>
          <c:h val="7.8125546806649168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2F5F6A-D7C5-41B3-82CE-7163DC2525BB}">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5206026F-5D20-487E-B28E-3B4A9A788386}">
  <ds:schemaRefs>
    <ds:schemaRef ds:uri="http://schemas.openxmlformats.org/officeDocument/2006/bibliography"/>
  </ds:schemaRefs>
</ds:datastoreItem>
</file>

<file path=customXml/itemProps3.xml><?xml version="1.0" encoding="utf-8"?>
<ds:datastoreItem xmlns:ds="http://schemas.openxmlformats.org/officeDocument/2006/customXml" ds:itemID="{F393A53E-855E-418F-A79C-C03441E0A0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14E6EA-92E3-4000-A1B8-6279D7DAB3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2915</TotalTime>
  <Pages>6</Pages>
  <Words>1379</Words>
  <Characters>7865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9226</CharactersWithSpaces>
  <SharedDoc>false</SharedDoc>
  <HLinks>
    <vt:vector size="48" baseType="variant">
      <vt:variant>
        <vt:i4>1703986</vt:i4>
      </vt:variant>
      <vt:variant>
        <vt:i4>32</vt:i4>
      </vt:variant>
      <vt:variant>
        <vt:i4>0</vt:i4>
      </vt:variant>
      <vt:variant>
        <vt:i4>5</vt:i4>
      </vt:variant>
      <vt:variant>
        <vt:lpwstr/>
      </vt:variant>
      <vt:variant>
        <vt:lpwstr>_Toc134378052</vt:lpwstr>
      </vt:variant>
      <vt:variant>
        <vt:i4>1703986</vt:i4>
      </vt:variant>
      <vt:variant>
        <vt:i4>29</vt:i4>
      </vt:variant>
      <vt:variant>
        <vt:i4>0</vt:i4>
      </vt:variant>
      <vt:variant>
        <vt:i4>5</vt:i4>
      </vt:variant>
      <vt:variant>
        <vt:lpwstr/>
      </vt:variant>
      <vt:variant>
        <vt:lpwstr>_Toc134378051</vt:lpwstr>
      </vt:variant>
      <vt:variant>
        <vt:i4>1703986</vt:i4>
      </vt:variant>
      <vt:variant>
        <vt:i4>26</vt:i4>
      </vt:variant>
      <vt:variant>
        <vt:i4>0</vt:i4>
      </vt:variant>
      <vt:variant>
        <vt:i4>5</vt:i4>
      </vt:variant>
      <vt:variant>
        <vt:lpwstr/>
      </vt:variant>
      <vt:variant>
        <vt:lpwstr>_Toc134378050</vt:lpwstr>
      </vt:variant>
      <vt:variant>
        <vt:i4>1769522</vt:i4>
      </vt:variant>
      <vt:variant>
        <vt:i4>23</vt:i4>
      </vt:variant>
      <vt:variant>
        <vt:i4>0</vt:i4>
      </vt:variant>
      <vt:variant>
        <vt:i4>5</vt:i4>
      </vt:variant>
      <vt:variant>
        <vt:lpwstr/>
      </vt:variant>
      <vt:variant>
        <vt:lpwstr>_Toc134378049</vt:lpwstr>
      </vt:variant>
      <vt:variant>
        <vt:i4>1769522</vt:i4>
      </vt:variant>
      <vt:variant>
        <vt:i4>17</vt:i4>
      </vt:variant>
      <vt:variant>
        <vt:i4>0</vt:i4>
      </vt:variant>
      <vt:variant>
        <vt:i4>5</vt:i4>
      </vt:variant>
      <vt:variant>
        <vt:lpwstr/>
      </vt:variant>
      <vt:variant>
        <vt:lpwstr>_Toc134378045</vt:lpwstr>
      </vt:variant>
      <vt:variant>
        <vt:i4>1769522</vt:i4>
      </vt:variant>
      <vt:variant>
        <vt:i4>14</vt:i4>
      </vt:variant>
      <vt:variant>
        <vt:i4>0</vt:i4>
      </vt:variant>
      <vt:variant>
        <vt:i4>5</vt:i4>
      </vt:variant>
      <vt:variant>
        <vt:lpwstr/>
      </vt:variant>
      <vt:variant>
        <vt:lpwstr>_Toc134378044</vt:lpwstr>
      </vt:variant>
      <vt:variant>
        <vt:i4>1769522</vt:i4>
      </vt:variant>
      <vt:variant>
        <vt:i4>11</vt:i4>
      </vt:variant>
      <vt:variant>
        <vt:i4>0</vt:i4>
      </vt:variant>
      <vt:variant>
        <vt:i4>5</vt:i4>
      </vt:variant>
      <vt:variant>
        <vt:lpwstr/>
      </vt:variant>
      <vt:variant>
        <vt:lpwstr>_Toc134378043</vt:lpwstr>
      </vt:variant>
      <vt:variant>
        <vt:i4>1769522</vt:i4>
      </vt:variant>
      <vt:variant>
        <vt:i4>8</vt:i4>
      </vt:variant>
      <vt:variant>
        <vt:i4>0</vt:i4>
      </vt:variant>
      <vt:variant>
        <vt:i4>5</vt:i4>
      </vt:variant>
      <vt:variant>
        <vt:lpwstr/>
      </vt:variant>
      <vt:variant>
        <vt:lpwstr>_Toc134378042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Ericsson_Nicholas_Pu</cp:lastModifiedBy>
  <cp:revision>738</cp:revision>
  <dcterms:created xsi:type="dcterms:W3CDTF">2023-01-31T18:00:00Z</dcterms:created>
  <dcterms:modified xsi:type="dcterms:W3CDTF">2023-05-15T15:10:00Z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